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1484A" w14:textId="5B876ED7" w:rsidR="00E90E49" w:rsidRPr="00CE0424" w:rsidRDefault="00E90E49" w:rsidP="00E35559">
      <w:pPr>
        <w:pStyle w:val="3GPPHeader"/>
        <w:spacing w:after="60"/>
        <w:rPr>
          <w:sz w:val="32"/>
          <w:szCs w:val="32"/>
          <w:highlight w:val="yellow"/>
        </w:rPr>
      </w:pPr>
      <w:r w:rsidRPr="00CE0424">
        <w:t xml:space="preserve">3GPP TSG-RAN </w:t>
      </w:r>
      <w:r w:rsidRPr="00002686">
        <w:t>WG</w:t>
      </w:r>
      <w:r w:rsidR="00F20F5C" w:rsidRPr="00002686">
        <w:t>2</w:t>
      </w:r>
      <w:r w:rsidRPr="00002686">
        <w:t xml:space="preserve"> #</w:t>
      </w:r>
      <w:r w:rsidR="00F20F5C" w:rsidRPr="00002686">
        <w:t>1</w:t>
      </w:r>
      <w:r w:rsidR="00C268E6" w:rsidRPr="00002686">
        <w:t>1</w:t>
      </w:r>
      <w:r w:rsidR="00ED3AB1">
        <w:t>6</w:t>
      </w:r>
      <w:r w:rsidR="00A00286">
        <w:t>-</w:t>
      </w:r>
      <w:r w:rsidR="00914937">
        <w:t>e</w:t>
      </w:r>
      <w:r w:rsidRPr="00CE0424">
        <w:tab/>
      </w:r>
      <w:r w:rsidR="00C92593" w:rsidRPr="00CD2606">
        <w:rPr>
          <w:sz w:val="28"/>
          <w:szCs w:val="28"/>
        </w:rPr>
        <w:t xml:space="preserve">Tdoc </w:t>
      </w:r>
      <w:r w:rsidR="00AA0175" w:rsidRPr="00AA0175">
        <w:rPr>
          <w:sz w:val="28"/>
          <w:szCs w:val="28"/>
        </w:rPr>
        <w:t>R2-2110883</w:t>
      </w:r>
    </w:p>
    <w:p w14:paraId="501AAEC3" w14:textId="7909E764" w:rsidR="00E90E49" w:rsidRPr="00CE0424" w:rsidRDefault="009302E1" w:rsidP="00357380">
      <w:pPr>
        <w:pStyle w:val="3GPPHeader"/>
      </w:pPr>
      <w:r>
        <w:t>Online</w:t>
      </w:r>
      <w:r w:rsidR="00C268E6">
        <w:t xml:space="preserve">, </w:t>
      </w:r>
      <w:r w:rsidR="00C95803">
        <w:t>November</w:t>
      </w:r>
      <w:r w:rsidR="00C268E6">
        <w:t xml:space="preserve"> </w:t>
      </w:r>
      <w:r w:rsidR="00A00286">
        <w:t>1</w:t>
      </w:r>
      <w:r w:rsidR="00666C07">
        <w:rPr>
          <w:vertAlign w:val="superscript"/>
        </w:rPr>
        <w:t>th</w:t>
      </w:r>
      <w:r w:rsidR="00C268E6" w:rsidRPr="00274F9A">
        <w:rPr>
          <w:vertAlign w:val="superscript"/>
        </w:rPr>
        <w:t xml:space="preserve"> </w:t>
      </w:r>
      <w:r w:rsidR="00C268E6">
        <w:t xml:space="preserve">– </w:t>
      </w:r>
      <w:r w:rsidR="00C95803">
        <w:t>12</w:t>
      </w:r>
      <w:r w:rsidR="00C268E6" w:rsidRPr="00C268E6">
        <w:rPr>
          <w:vertAlign w:val="superscript"/>
        </w:rPr>
        <w:t>th</w:t>
      </w:r>
      <w:r w:rsidR="00C268E6">
        <w:t xml:space="preserve"> 202</w:t>
      </w:r>
      <w:r w:rsidR="00666C07">
        <w:t>1</w:t>
      </w:r>
    </w:p>
    <w:p w14:paraId="2AAF3D11" w14:textId="3EFE3483" w:rsidR="00E90E49" w:rsidRPr="00504B96" w:rsidRDefault="00E90E49" w:rsidP="00311702">
      <w:pPr>
        <w:pStyle w:val="3GPPHeader"/>
        <w:rPr>
          <w:sz w:val="22"/>
          <w:szCs w:val="22"/>
          <w:lang w:val="en-US"/>
        </w:rPr>
      </w:pPr>
      <w:r w:rsidRPr="00504B96">
        <w:rPr>
          <w:sz w:val="22"/>
          <w:szCs w:val="22"/>
          <w:lang w:val="en-US"/>
        </w:rPr>
        <w:t>Agenda Item:</w:t>
      </w:r>
      <w:r w:rsidRPr="00504B96">
        <w:rPr>
          <w:sz w:val="22"/>
          <w:szCs w:val="22"/>
          <w:lang w:val="en-US"/>
        </w:rPr>
        <w:tab/>
      </w:r>
      <w:r w:rsidR="00C5749D" w:rsidRPr="001E62A0">
        <w:rPr>
          <w:sz w:val="22"/>
          <w:szCs w:val="22"/>
        </w:rPr>
        <w:t>8.4.</w:t>
      </w:r>
      <w:r w:rsidR="00FE45F2" w:rsidRPr="001E62A0">
        <w:rPr>
          <w:sz w:val="22"/>
          <w:szCs w:val="22"/>
        </w:rPr>
        <w:t>2</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204E1517" w:rsidR="00E90E49" w:rsidRPr="00CE0424" w:rsidRDefault="003D3C45" w:rsidP="00311702">
      <w:pPr>
        <w:pStyle w:val="3GPPHeader"/>
        <w:rPr>
          <w:sz w:val="22"/>
          <w:szCs w:val="22"/>
        </w:rPr>
      </w:pPr>
      <w:r>
        <w:rPr>
          <w:sz w:val="22"/>
          <w:szCs w:val="22"/>
        </w:rPr>
        <w:t>Title:</w:t>
      </w:r>
      <w:r w:rsidR="00E90E49" w:rsidRPr="00CE0424">
        <w:rPr>
          <w:sz w:val="22"/>
          <w:szCs w:val="22"/>
        </w:rPr>
        <w:tab/>
      </w:r>
      <w:r w:rsidR="006107E7">
        <w:rPr>
          <w:sz w:val="22"/>
          <w:szCs w:val="22"/>
        </w:rPr>
        <w:t>On</w:t>
      </w:r>
      <w:r w:rsidR="00A57A87">
        <w:rPr>
          <w:sz w:val="22"/>
          <w:szCs w:val="22"/>
        </w:rPr>
        <w:t xml:space="preserve"> </w:t>
      </w:r>
      <w:r w:rsidR="00CD6522">
        <w:rPr>
          <w:sz w:val="22"/>
          <w:szCs w:val="22"/>
        </w:rPr>
        <w:t>T</w:t>
      </w:r>
      <w:r w:rsidR="00274F9A">
        <w:rPr>
          <w:sz w:val="22"/>
          <w:szCs w:val="22"/>
        </w:rPr>
        <w:t>opology-wi</w:t>
      </w:r>
      <w:r w:rsidR="00E3142E">
        <w:rPr>
          <w:sz w:val="22"/>
          <w:szCs w:val="22"/>
        </w:rPr>
        <w:t>d</w:t>
      </w:r>
      <w:r w:rsidR="00274F9A">
        <w:rPr>
          <w:sz w:val="22"/>
          <w:szCs w:val="22"/>
        </w:rPr>
        <w:t xml:space="preserve">e </w:t>
      </w:r>
      <w:r w:rsidR="00AA6412">
        <w:rPr>
          <w:sz w:val="22"/>
          <w:szCs w:val="22"/>
        </w:rPr>
        <w:t>F</w:t>
      </w:r>
      <w:r w:rsidR="00274F9A">
        <w:rPr>
          <w:sz w:val="22"/>
          <w:szCs w:val="22"/>
        </w:rPr>
        <w:t>airness</w:t>
      </w:r>
      <w:r w:rsidR="00E93C38">
        <w:rPr>
          <w:sz w:val="22"/>
          <w:szCs w:val="22"/>
        </w:rPr>
        <w:t xml:space="preserve">, </w:t>
      </w:r>
      <w:r w:rsidR="00AA6412">
        <w:rPr>
          <w:sz w:val="22"/>
          <w:szCs w:val="22"/>
        </w:rPr>
        <w:t>M</w:t>
      </w:r>
      <w:r w:rsidR="00274F9A">
        <w:rPr>
          <w:sz w:val="22"/>
          <w:szCs w:val="22"/>
        </w:rPr>
        <w:t xml:space="preserve">ulti-hop </w:t>
      </w:r>
      <w:r w:rsidR="00CD6522">
        <w:rPr>
          <w:sz w:val="22"/>
          <w:szCs w:val="22"/>
        </w:rPr>
        <w:t>L</w:t>
      </w:r>
      <w:r w:rsidR="00274F9A">
        <w:rPr>
          <w:sz w:val="22"/>
          <w:szCs w:val="22"/>
        </w:rPr>
        <w:t>atency</w:t>
      </w:r>
      <w:r w:rsidR="00E93C38">
        <w:rPr>
          <w:sz w:val="22"/>
          <w:szCs w:val="22"/>
        </w:rPr>
        <w:t>, and Congestion</w:t>
      </w:r>
      <w:r w:rsidR="00B95915">
        <w:rPr>
          <w:sz w:val="22"/>
          <w:szCs w:val="22"/>
        </w:rPr>
        <w:t xml:space="preserve"> </w:t>
      </w:r>
      <w:r w:rsidR="00E93C38">
        <w:rPr>
          <w:sz w:val="22"/>
          <w:szCs w:val="22"/>
        </w:rPr>
        <w:t>in IAB Network</w:t>
      </w:r>
    </w:p>
    <w:p w14:paraId="390A408F" w14:textId="2662928A" w:rsidR="00E90E49" w:rsidRPr="002C08F2" w:rsidRDefault="00E90E49" w:rsidP="002C08F2">
      <w:pPr>
        <w:pStyle w:val="3GPPHeader"/>
        <w:rPr>
          <w:sz w:val="22"/>
          <w:szCs w:val="22"/>
        </w:rPr>
      </w:pPr>
      <w:r w:rsidRPr="00CE0424">
        <w:rPr>
          <w:sz w:val="22"/>
          <w:szCs w:val="22"/>
        </w:rPr>
        <w:t>Document for:</w:t>
      </w:r>
      <w:r w:rsidRPr="00CE0424">
        <w:rPr>
          <w:sz w:val="22"/>
          <w:szCs w:val="22"/>
        </w:rPr>
        <w:tab/>
      </w:r>
      <w:r w:rsidRPr="00600096">
        <w:rPr>
          <w:sz w:val="22"/>
          <w:szCs w:val="22"/>
        </w:rPr>
        <w:t>Discussion, Decision</w:t>
      </w:r>
    </w:p>
    <w:p w14:paraId="595B8397" w14:textId="77777777" w:rsidR="00E90E49" w:rsidRPr="005B798B" w:rsidRDefault="00230D18" w:rsidP="00CE0424">
      <w:pPr>
        <w:pStyle w:val="Heading1"/>
        <w:rPr>
          <w:rFonts w:asciiTheme="minorHAnsi" w:hAnsiTheme="minorHAnsi" w:cstheme="minorHAnsi"/>
          <w:sz w:val="40"/>
          <w:szCs w:val="40"/>
        </w:rPr>
      </w:pPr>
      <w:r w:rsidRPr="005B798B">
        <w:rPr>
          <w:rFonts w:asciiTheme="minorHAnsi" w:hAnsiTheme="minorHAnsi" w:cstheme="minorHAnsi"/>
          <w:sz w:val="40"/>
          <w:szCs w:val="40"/>
        </w:rPr>
        <w:t>1</w:t>
      </w:r>
      <w:r w:rsidRPr="005B798B">
        <w:rPr>
          <w:rFonts w:asciiTheme="minorHAnsi" w:hAnsiTheme="minorHAnsi" w:cstheme="minorHAnsi"/>
          <w:sz w:val="40"/>
          <w:szCs w:val="40"/>
        </w:rPr>
        <w:tab/>
      </w:r>
      <w:r w:rsidR="00E90E49" w:rsidRPr="005B798B">
        <w:rPr>
          <w:rFonts w:asciiTheme="minorHAnsi" w:hAnsiTheme="minorHAnsi" w:cstheme="minorHAnsi"/>
          <w:sz w:val="40"/>
          <w:szCs w:val="40"/>
        </w:rPr>
        <w:t>Introduction</w:t>
      </w:r>
    </w:p>
    <w:p w14:paraId="387E4C08" w14:textId="0E738CE1" w:rsidR="00ED3AB1" w:rsidRDefault="00025709" w:rsidP="00ED3AB1">
      <w:pPr>
        <w:jc w:val="both"/>
        <w:rPr>
          <w:rFonts w:ascii="Arial" w:hAnsi="Arial" w:cs="Arial"/>
        </w:rPr>
      </w:pPr>
      <w:r>
        <w:rPr>
          <w:rFonts w:ascii="Arial" w:hAnsi="Arial" w:cs="Arial"/>
        </w:rPr>
        <w:t xml:space="preserve">Related to this topic, </w:t>
      </w:r>
      <w:r w:rsidR="00A00286">
        <w:rPr>
          <w:rFonts w:ascii="Arial" w:hAnsi="Arial" w:cs="Arial"/>
        </w:rPr>
        <w:t>the following</w:t>
      </w:r>
      <w:r w:rsidR="00ED3AB1">
        <w:rPr>
          <w:rFonts w:ascii="Arial" w:hAnsi="Arial" w:cs="Arial"/>
        </w:rPr>
        <w:t xml:space="preserve"> agreements were taken</w:t>
      </w:r>
      <w:r>
        <w:rPr>
          <w:rFonts w:ascii="Arial" w:hAnsi="Arial" w:cs="Arial"/>
        </w:rPr>
        <w:t xml:space="preserve"> in </w:t>
      </w:r>
      <w:r w:rsidR="00ED3AB1">
        <w:rPr>
          <w:rFonts w:ascii="Arial" w:hAnsi="Arial" w:cs="Arial"/>
        </w:rPr>
        <w:t>:</w:t>
      </w:r>
    </w:p>
    <w:tbl>
      <w:tblPr>
        <w:tblStyle w:val="TableGrid"/>
        <w:tblW w:w="0" w:type="auto"/>
        <w:tblLook w:val="04A0" w:firstRow="1" w:lastRow="0" w:firstColumn="1" w:lastColumn="0" w:noHBand="0" w:noVBand="1"/>
      </w:tblPr>
      <w:tblGrid>
        <w:gridCol w:w="9629"/>
      </w:tblGrid>
      <w:tr w:rsidR="00ED3AB1" w14:paraId="6E2749E1" w14:textId="77777777" w:rsidTr="00ED3AB1">
        <w:tc>
          <w:tcPr>
            <w:tcW w:w="9629" w:type="dxa"/>
          </w:tcPr>
          <w:p w14:paraId="006B92A2" w14:textId="77777777" w:rsidR="00ED3AB1" w:rsidRPr="00ED3AB1" w:rsidRDefault="00ED3AB1" w:rsidP="00ED3AB1">
            <w:pPr>
              <w:jc w:val="both"/>
              <w:rPr>
                <w:rFonts w:ascii="Arial" w:eastAsia="Times New Roman" w:hAnsi="Arial" w:cs="Arial"/>
                <w:b/>
                <w:bCs/>
                <w:sz w:val="20"/>
                <w:szCs w:val="20"/>
                <w:u w:val="single"/>
                <w:lang w:val="en-GB"/>
              </w:rPr>
            </w:pPr>
            <w:r w:rsidRPr="00ED3AB1">
              <w:rPr>
                <w:rFonts w:ascii="Arial" w:eastAsia="Times New Roman" w:hAnsi="Arial" w:cs="Arial"/>
                <w:b/>
                <w:bCs/>
                <w:sz w:val="20"/>
                <w:szCs w:val="20"/>
                <w:u w:val="single"/>
                <w:lang w:val="en-GB"/>
              </w:rPr>
              <w:t>From RAN2#115-e:</w:t>
            </w:r>
          </w:p>
          <w:p w14:paraId="044A3DA0" w14:textId="77777777" w:rsidR="00ED3AB1" w:rsidRDefault="00ED3AB1" w:rsidP="00ED3AB1">
            <w:pPr>
              <w:pStyle w:val="Agreement"/>
              <w:tabs>
                <w:tab w:val="clear" w:pos="9990"/>
              </w:tabs>
            </w:pPr>
            <w:r>
              <w:rPr>
                <w:lang w:val="en-US"/>
              </w:rPr>
              <w:t>The length of LCG to be extended to 8 bits (i.e., at most 256 LCGs).</w:t>
            </w:r>
          </w:p>
          <w:p w14:paraId="2F2AD9D3" w14:textId="77777777" w:rsidR="00ED3AB1" w:rsidRDefault="00ED3AB1" w:rsidP="00ED3AB1">
            <w:pPr>
              <w:pStyle w:val="Agreement"/>
              <w:tabs>
                <w:tab w:val="clear" w:pos="9990"/>
              </w:tabs>
              <w:rPr>
                <w:lang w:val="en-US"/>
              </w:rPr>
            </w:pPr>
            <w:r>
              <w:rPr>
                <w:lang w:val="en-US"/>
              </w:rPr>
              <w:t>New Short (Truncated) BSR format to specified that has a fixed size and consists of an 8-bit LCG ID field and an 8-bit Buffer Size field.</w:t>
            </w:r>
          </w:p>
          <w:p w14:paraId="297E5247" w14:textId="0A913A05" w:rsidR="00ED3AB1" w:rsidRPr="00ED3AB1" w:rsidRDefault="00ED3AB1" w:rsidP="00ED3AB1">
            <w:pPr>
              <w:jc w:val="both"/>
              <w:rPr>
                <w:rFonts w:ascii="Arial" w:hAnsi="Arial" w:cs="Arial"/>
                <w:lang w:val="en-US"/>
              </w:rPr>
            </w:pPr>
          </w:p>
        </w:tc>
      </w:tr>
    </w:tbl>
    <w:p w14:paraId="3F29CCFE" w14:textId="77777777" w:rsidR="00025709" w:rsidRDefault="00025709" w:rsidP="004D4CF4">
      <w:pPr>
        <w:jc w:val="both"/>
        <w:rPr>
          <w:rFonts w:ascii="Arial" w:hAnsi="Arial" w:cs="Arial"/>
        </w:rPr>
      </w:pPr>
    </w:p>
    <w:p w14:paraId="73AF9ED1" w14:textId="63BD89A0" w:rsidR="000B5C6E" w:rsidRDefault="00025709" w:rsidP="004D4CF4">
      <w:pPr>
        <w:jc w:val="both"/>
        <w:rPr>
          <w:rFonts w:ascii="Arial" w:hAnsi="Arial" w:cs="Arial"/>
        </w:rPr>
      </w:pPr>
      <w:r>
        <w:rPr>
          <w:rFonts w:ascii="Arial" w:hAnsi="Arial" w:cs="Arial"/>
        </w:rPr>
        <w:t xml:space="preserve">Other </w:t>
      </w:r>
      <w:r w:rsidR="00EF1C2C">
        <w:rPr>
          <w:rFonts w:ascii="Arial" w:hAnsi="Arial" w:cs="Arial"/>
        </w:rPr>
        <w:t>potential enhacements to topology-wide fairness, multip-hop and congestion</w:t>
      </w:r>
      <w:r>
        <w:rPr>
          <w:rFonts w:ascii="Arial" w:hAnsi="Arial" w:cs="Arial"/>
        </w:rPr>
        <w:t xml:space="preserve"> were discussed in RAN2#</w:t>
      </w:r>
      <w:r w:rsidR="00B54562">
        <w:rPr>
          <w:rFonts w:ascii="Arial" w:hAnsi="Arial" w:cs="Arial"/>
        </w:rPr>
        <w:t>93</w:t>
      </w:r>
      <w:r>
        <w:rPr>
          <w:rFonts w:ascii="Arial" w:hAnsi="Arial" w:cs="Arial"/>
        </w:rPr>
        <w:t>-e</w:t>
      </w:r>
      <w:r w:rsidR="00EF1C2C">
        <w:rPr>
          <w:rFonts w:ascii="Arial" w:hAnsi="Arial" w:cs="Arial"/>
        </w:rPr>
        <w:t xml:space="preserve">, but </w:t>
      </w:r>
      <w:r w:rsidR="00A00286">
        <w:rPr>
          <w:rFonts w:ascii="Arial" w:hAnsi="Arial" w:cs="Arial"/>
        </w:rPr>
        <w:t xml:space="preserve"> </w:t>
      </w:r>
      <w:r w:rsidR="00EF1C2C">
        <w:rPr>
          <w:rFonts w:ascii="Arial" w:hAnsi="Arial" w:cs="Arial"/>
        </w:rPr>
        <w:t>no agreements was taken.</w:t>
      </w:r>
      <w:r w:rsidR="00EF1C2C">
        <w:rPr>
          <w:rFonts w:ascii="Arial" w:hAnsi="Arial" w:cs="Arial"/>
        </w:rPr>
        <w:br/>
        <w:t xml:space="preserve">In RP#92, a way forward was agreed </w:t>
      </w:r>
      <w:r w:rsidR="00B54562">
        <w:rPr>
          <w:rFonts w:ascii="Arial" w:hAnsi="Arial" w:cs="Arial"/>
        </w:rPr>
        <w:t xml:space="preserve">and captured in </w:t>
      </w:r>
      <w:r w:rsidR="00B54562">
        <w:rPr>
          <w:rFonts w:ascii="Arial" w:hAnsi="Arial" w:cs="Arial"/>
        </w:rPr>
        <w:fldChar w:fldCharType="begin"/>
      </w:r>
      <w:r w:rsidR="00B54562">
        <w:rPr>
          <w:rFonts w:ascii="Arial" w:hAnsi="Arial" w:cs="Arial"/>
        </w:rPr>
        <w:instrText xml:space="preserve"> REF _Ref84949993 \r \h </w:instrText>
      </w:r>
      <w:r w:rsidR="00B54562">
        <w:rPr>
          <w:rFonts w:ascii="Arial" w:hAnsi="Arial" w:cs="Arial"/>
        </w:rPr>
      </w:r>
      <w:r w:rsidR="00B54562">
        <w:rPr>
          <w:rFonts w:ascii="Arial" w:hAnsi="Arial" w:cs="Arial"/>
        </w:rPr>
        <w:fldChar w:fldCharType="separate"/>
      </w:r>
      <w:r w:rsidR="00A66ECA">
        <w:rPr>
          <w:rFonts w:ascii="Arial" w:hAnsi="Arial" w:cs="Arial"/>
        </w:rPr>
        <w:t>[1]</w:t>
      </w:r>
      <w:r w:rsidR="00B54562">
        <w:rPr>
          <w:rFonts w:ascii="Arial" w:hAnsi="Arial" w:cs="Arial"/>
        </w:rPr>
        <w:fldChar w:fldCharType="end"/>
      </w:r>
      <w:r w:rsidR="00B54562">
        <w:rPr>
          <w:rFonts w:ascii="Arial" w:hAnsi="Arial" w:cs="Arial"/>
        </w:rPr>
        <w:t>:</w:t>
      </w:r>
    </w:p>
    <w:tbl>
      <w:tblPr>
        <w:tblStyle w:val="TableGrid"/>
        <w:tblW w:w="0" w:type="auto"/>
        <w:tblLook w:val="04A0" w:firstRow="1" w:lastRow="0" w:firstColumn="1" w:lastColumn="0" w:noHBand="0" w:noVBand="1"/>
      </w:tblPr>
      <w:tblGrid>
        <w:gridCol w:w="9629"/>
      </w:tblGrid>
      <w:tr w:rsidR="00B54562" w14:paraId="2D25B8A0" w14:textId="77777777" w:rsidTr="00B54562">
        <w:tc>
          <w:tcPr>
            <w:tcW w:w="9629" w:type="dxa"/>
          </w:tcPr>
          <w:p w14:paraId="7EF34F0E" w14:textId="77777777" w:rsidR="00B54562" w:rsidRPr="00B54562" w:rsidRDefault="00B54562" w:rsidP="004D4CF4">
            <w:pPr>
              <w:jc w:val="both"/>
              <w:rPr>
                <w:rFonts w:ascii="Arial" w:eastAsia="Times New Roman" w:hAnsi="Arial" w:cs="Arial"/>
                <w:b/>
                <w:bCs/>
                <w:sz w:val="20"/>
                <w:szCs w:val="20"/>
                <w:u w:val="single"/>
                <w:lang w:val="en-GB"/>
              </w:rPr>
            </w:pPr>
            <w:r w:rsidRPr="00B54562">
              <w:rPr>
                <w:rFonts w:ascii="Arial" w:eastAsia="Times New Roman" w:hAnsi="Arial" w:cs="Arial"/>
                <w:b/>
                <w:bCs/>
                <w:sz w:val="20"/>
                <w:szCs w:val="20"/>
                <w:u w:val="single"/>
                <w:lang w:val="en-GB"/>
              </w:rPr>
              <w:t>From RP#93-e:</w:t>
            </w:r>
          </w:p>
          <w:p w14:paraId="6FF95B05" w14:textId="77777777" w:rsidR="00B54562" w:rsidRDefault="00B54562" w:rsidP="00B54562">
            <w:pPr>
              <w:rPr>
                <w:lang w:val="en-US" w:eastAsia="sv-SE"/>
              </w:rPr>
            </w:pPr>
            <w:r>
              <w:rPr>
                <w:b/>
                <w:bCs/>
                <w:lang w:val="en-US"/>
              </w:rPr>
              <w:t>Proposal 1: Enhancements to improve topology-wide fairness and multi-hop latency to be deprioritized.</w:t>
            </w:r>
          </w:p>
          <w:p w14:paraId="0BD6090C" w14:textId="3D44D9EB" w:rsidR="00B54562" w:rsidRPr="00B54562" w:rsidRDefault="00B54562" w:rsidP="00B54562">
            <w:pPr>
              <w:rPr>
                <w:lang w:val="en-US"/>
              </w:rPr>
            </w:pPr>
            <w:r>
              <w:rPr>
                <w:b/>
                <w:bCs/>
                <w:lang w:val="en-US"/>
              </w:rPr>
              <w:t>Proposal 3: RAN2-led efforts on enhancements to LCG-range extension, RLF indications and local rerouting to continue.</w:t>
            </w:r>
          </w:p>
        </w:tc>
      </w:tr>
    </w:tbl>
    <w:p w14:paraId="5F8EEFBC" w14:textId="46423A70" w:rsidR="00B54562" w:rsidRDefault="00B54562" w:rsidP="004D4CF4">
      <w:pPr>
        <w:jc w:val="both"/>
        <w:rPr>
          <w:rFonts w:ascii="Arial" w:hAnsi="Arial" w:cs="Arial"/>
        </w:rPr>
      </w:pPr>
    </w:p>
    <w:p w14:paraId="75C8BAD1" w14:textId="41EEFFC6" w:rsidR="00B54562" w:rsidRPr="00006E43" w:rsidRDefault="00B54562" w:rsidP="004D4CF4">
      <w:pPr>
        <w:jc w:val="both"/>
        <w:rPr>
          <w:rFonts w:ascii="Arial" w:hAnsi="Arial" w:cs="Arial"/>
        </w:rPr>
      </w:pPr>
      <w:r>
        <w:rPr>
          <w:rFonts w:ascii="Arial" w:hAnsi="Arial" w:cs="Arial"/>
        </w:rPr>
        <w:t>Given the status of this topic, this contribution will consider stage-3 details of the new BSR MAC CE format</w:t>
      </w:r>
      <w:r w:rsidR="00EB0962">
        <w:rPr>
          <w:rFonts w:ascii="Arial" w:hAnsi="Arial" w:cs="Arial"/>
        </w:rPr>
        <w:t>, and will address once more our view on the UL hop-by-hop flow control feedback.</w:t>
      </w:r>
    </w:p>
    <w:p w14:paraId="79E6BA90" w14:textId="6DDE2A75" w:rsidR="00D3233E" w:rsidRPr="00325705" w:rsidRDefault="00230D18" w:rsidP="00BE115B">
      <w:pPr>
        <w:pStyle w:val="Heading1"/>
        <w:rPr>
          <w:rFonts w:asciiTheme="minorHAnsi" w:hAnsiTheme="minorHAnsi" w:cstheme="minorHAnsi"/>
          <w:szCs w:val="36"/>
        </w:rPr>
      </w:pPr>
      <w:bookmarkStart w:id="0" w:name="_Ref178064866"/>
      <w:r w:rsidRPr="00325705">
        <w:rPr>
          <w:rFonts w:asciiTheme="minorHAnsi" w:hAnsiTheme="minorHAnsi" w:cstheme="minorHAnsi"/>
        </w:rPr>
        <w:t>2</w:t>
      </w:r>
      <w:r w:rsidRPr="00325705">
        <w:rPr>
          <w:rFonts w:asciiTheme="minorHAnsi" w:hAnsiTheme="minorHAnsi" w:cstheme="minorHAnsi"/>
          <w:szCs w:val="36"/>
        </w:rPr>
        <w:tab/>
      </w:r>
      <w:r w:rsidR="004000E8" w:rsidRPr="00325705">
        <w:rPr>
          <w:rFonts w:asciiTheme="minorHAnsi" w:hAnsiTheme="minorHAnsi" w:cstheme="minorHAnsi"/>
          <w:sz w:val="40"/>
          <w:szCs w:val="40"/>
        </w:rPr>
        <w:t>Discussion</w:t>
      </w:r>
      <w:bookmarkEnd w:id="0"/>
    </w:p>
    <w:p w14:paraId="19D7D0E2" w14:textId="6157D377" w:rsidR="003C6C80" w:rsidRDefault="003C6C80" w:rsidP="003C6C80">
      <w:pPr>
        <w:pStyle w:val="Heading2"/>
      </w:pPr>
      <w:r>
        <w:t>2.1 BSR MAC CE format</w:t>
      </w:r>
    </w:p>
    <w:p w14:paraId="0158788A" w14:textId="63CBAE0C" w:rsidR="003C6C80" w:rsidRPr="00226A3C" w:rsidRDefault="003C6C80" w:rsidP="003C6C80">
      <w:pPr>
        <w:rPr>
          <w:rFonts w:ascii="Arial" w:hAnsi="Arial" w:cs="Arial"/>
        </w:rPr>
      </w:pPr>
      <w:r w:rsidRPr="00226A3C">
        <w:rPr>
          <w:rFonts w:ascii="Arial" w:hAnsi="Arial" w:cs="Arial"/>
        </w:rPr>
        <w:t xml:space="preserve">RAN2 took the decision to extend to 8 bits the length of the LCG, which implies that there will be at most 256 LCGs available to be used by an IAB-MT. This agreement calls for a new BSR MAC CE format that RAN2 has to discuss. </w:t>
      </w:r>
      <w:r w:rsidR="000E70B3" w:rsidRPr="00226A3C">
        <w:rPr>
          <w:rFonts w:ascii="Arial" w:hAnsi="Arial" w:cs="Arial"/>
        </w:rPr>
        <w:t>While for the short BSR, the format decision was straightforward, for the long BSR MAC CE v</w:t>
      </w:r>
      <w:r w:rsidRPr="00226A3C">
        <w:rPr>
          <w:rFonts w:ascii="Arial" w:hAnsi="Arial" w:cs="Arial"/>
        </w:rPr>
        <w:t xml:space="preserve">arious options </w:t>
      </w:r>
      <w:r w:rsidR="000E70B3" w:rsidRPr="00226A3C">
        <w:rPr>
          <w:rFonts w:ascii="Arial" w:hAnsi="Arial" w:cs="Arial"/>
        </w:rPr>
        <w:t>were</w:t>
      </w:r>
      <w:r w:rsidRPr="00226A3C">
        <w:rPr>
          <w:rFonts w:ascii="Arial" w:hAnsi="Arial" w:cs="Arial"/>
        </w:rPr>
        <w:t xml:space="preserve"> addressed in different contributions</w:t>
      </w:r>
      <w:r w:rsidR="000E70B3" w:rsidRPr="00226A3C">
        <w:rPr>
          <w:rFonts w:ascii="Arial" w:hAnsi="Arial" w:cs="Arial"/>
        </w:rPr>
        <w:t xml:space="preserve"> and summarized in </w:t>
      </w:r>
      <w:r w:rsidR="000E70B3" w:rsidRPr="00226A3C">
        <w:rPr>
          <w:rFonts w:ascii="Arial" w:hAnsi="Arial" w:cs="Arial"/>
        </w:rPr>
        <w:fldChar w:fldCharType="begin"/>
      </w:r>
      <w:r w:rsidR="000E70B3" w:rsidRPr="00226A3C">
        <w:rPr>
          <w:rFonts w:ascii="Arial" w:hAnsi="Arial" w:cs="Arial"/>
        </w:rPr>
        <w:instrText xml:space="preserve"> REF _Ref85015966 \r \h </w:instrText>
      </w:r>
      <w:r w:rsidR="00226A3C">
        <w:rPr>
          <w:rFonts w:ascii="Arial" w:hAnsi="Arial" w:cs="Arial"/>
        </w:rPr>
        <w:instrText xml:space="preserve"> \* MERGEFORMAT </w:instrText>
      </w:r>
      <w:r w:rsidR="000E70B3" w:rsidRPr="00226A3C">
        <w:rPr>
          <w:rFonts w:ascii="Arial" w:hAnsi="Arial" w:cs="Arial"/>
        </w:rPr>
      </w:r>
      <w:r w:rsidR="000E70B3" w:rsidRPr="00226A3C">
        <w:rPr>
          <w:rFonts w:ascii="Arial" w:hAnsi="Arial" w:cs="Arial"/>
        </w:rPr>
        <w:fldChar w:fldCharType="separate"/>
      </w:r>
      <w:r w:rsidR="00A66ECA">
        <w:rPr>
          <w:rFonts w:ascii="Arial" w:hAnsi="Arial" w:cs="Arial"/>
        </w:rPr>
        <w:t>[2]</w:t>
      </w:r>
      <w:r w:rsidR="000E70B3" w:rsidRPr="00226A3C">
        <w:rPr>
          <w:rFonts w:ascii="Arial" w:hAnsi="Arial" w:cs="Arial"/>
        </w:rPr>
        <w:fldChar w:fldCharType="end"/>
      </w:r>
      <w:r w:rsidR="000E70B3" w:rsidRPr="00226A3C">
        <w:rPr>
          <w:rFonts w:ascii="Arial" w:hAnsi="Arial" w:cs="Arial"/>
        </w:rPr>
        <w:t>.</w:t>
      </w:r>
    </w:p>
    <w:p w14:paraId="795A5F7F" w14:textId="2737439F" w:rsidR="000E70B3" w:rsidRPr="00226A3C" w:rsidRDefault="000E70B3" w:rsidP="003C6C80">
      <w:pPr>
        <w:rPr>
          <w:rFonts w:ascii="Arial" w:hAnsi="Arial" w:cs="Arial"/>
        </w:rPr>
      </w:pPr>
      <w:r w:rsidRPr="00226A3C">
        <w:rPr>
          <w:rFonts w:ascii="Arial" w:hAnsi="Arial" w:cs="Arial"/>
        </w:rPr>
        <w:t xml:space="preserve">In particular, two options for the long BSR MAC CE were considered: </w:t>
      </w:r>
    </w:p>
    <w:p w14:paraId="687A13FC" w14:textId="18F5A5EA" w:rsidR="000E70B3" w:rsidRPr="00226A3C" w:rsidRDefault="000E70B3" w:rsidP="000E70B3">
      <w:pPr>
        <w:rPr>
          <w:rFonts w:ascii="Arial" w:hAnsi="Arial" w:cs="Arial"/>
        </w:rPr>
      </w:pPr>
      <w:r w:rsidRPr="00226A3C">
        <w:rPr>
          <w:rFonts w:ascii="Arial" w:hAnsi="Arial" w:cs="Arial"/>
          <w:b/>
          <w:bCs/>
          <w:u w:val="single"/>
        </w:rPr>
        <w:t>Option 1:</w:t>
      </w:r>
      <w:r w:rsidRPr="00226A3C">
        <w:rPr>
          <w:rFonts w:ascii="Arial" w:hAnsi="Arial" w:cs="Arial"/>
        </w:rPr>
        <w:t xml:space="preserve"> A flexible long BSR format</w:t>
      </w:r>
      <w:r w:rsidR="00657E2D" w:rsidRPr="00226A3C">
        <w:rPr>
          <w:rFonts w:ascii="Arial" w:hAnsi="Arial" w:cs="Arial"/>
        </w:rPr>
        <w:t xml:space="preserve"> depicted in </w:t>
      </w:r>
      <w:r w:rsidR="00657E2D" w:rsidRPr="00226A3C">
        <w:rPr>
          <w:rFonts w:ascii="Arial" w:hAnsi="Arial" w:cs="Arial"/>
        </w:rPr>
        <w:fldChar w:fldCharType="begin"/>
      </w:r>
      <w:r w:rsidR="00657E2D" w:rsidRPr="00226A3C">
        <w:rPr>
          <w:rFonts w:ascii="Arial" w:hAnsi="Arial" w:cs="Arial"/>
        </w:rPr>
        <w:instrText xml:space="preserve"> REF _Ref85017654 \h </w:instrText>
      </w:r>
      <w:r w:rsidR="00226A3C">
        <w:rPr>
          <w:rFonts w:ascii="Arial" w:hAnsi="Arial" w:cs="Arial"/>
        </w:rPr>
        <w:instrText xml:space="preserve"> \* MERGEFORMAT </w:instrText>
      </w:r>
      <w:r w:rsidR="00657E2D" w:rsidRPr="00226A3C">
        <w:rPr>
          <w:rFonts w:ascii="Arial" w:hAnsi="Arial" w:cs="Arial"/>
        </w:rPr>
      </w:r>
      <w:r w:rsidR="00657E2D" w:rsidRPr="00226A3C">
        <w:rPr>
          <w:rFonts w:ascii="Arial" w:hAnsi="Arial" w:cs="Arial"/>
        </w:rPr>
        <w:fldChar w:fldCharType="separate"/>
      </w:r>
      <w:r w:rsidR="00A66ECA" w:rsidRPr="00A66ECA">
        <w:rPr>
          <w:rFonts w:ascii="Arial" w:hAnsi="Arial" w:cs="Arial"/>
        </w:rPr>
        <w:t>Figure 1</w:t>
      </w:r>
      <w:r w:rsidR="00657E2D" w:rsidRPr="00226A3C">
        <w:rPr>
          <w:rFonts w:ascii="Arial" w:hAnsi="Arial" w:cs="Arial"/>
        </w:rPr>
        <w:fldChar w:fldCharType="end"/>
      </w:r>
      <w:r w:rsidR="00F01B20" w:rsidRPr="00226A3C">
        <w:rPr>
          <w:rFonts w:ascii="Arial" w:hAnsi="Arial" w:cs="Arial"/>
        </w:rPr>
        <w:t>. In</w:t>
      </w:r>
      <w:r w:rsidR="00657E2D" w:rsidRPr="00226A3C">
        <w:rPr>
          <w:rFonts w:ascii="Arial" w:hAnsi="Arial" w:cs="Arial"/>
        </w:rPr>
        <w:t xml:space="preserve"> this option, the IAB node only include</w:t>
      </w:r>
      <w:r w:rsidR="00223B1B" w:rsidRPr="00226A3C">
        <w:rPr>
          <w:rFonts w:ascii="Arial" w:hAnsi="Arial" w:cs="Arial"/>
        </w:rPr>
        <w:t>s</w:t>
      </w:r>
      <w:r w:rsidR="00657E2D" w:rsidRPr="00226A3C">
        <w:rPr>
          <w:rFonts w:ascii="Arial" w:hAnsi="Arial" w:cs="Arial"/>
        </w:rPr>
        <w:t xml:space="preserve"> the </w:t>
      </w:r>
      <w:r w:rsidR="00223B1B" w:rsidRPr="00226A3C">
        <w:rPr>
          <w:rFonts w:ascii="Arial" w:hAnsi="Arial" w:cs="Arial"/>
        </w:rPr>
        <w:t xml:space="preserve">buffer size </w:t>
      </w:r>
      <w:r w:rsidR="00657E2D" w:rsidRPr="00226A3C">
        <w:rPr>
          <w:rFonts w:ascii="Arial" w:hAnsi="Arial" w:cs="Arial"/>
        </w:rPr>
        <w:t>information associated to the LCGs for which there are currently data in the buffer.</w:t>
      </w:r>
    </w:p>
    <w:p w14:paraId="297D3521" w14:textId="77777777" w:rsidR="00F01B20" w:rsidRDefault="000E70B3" w:rsidP="00F01B20">
      <w:pPr>
        <w:pStyle w:val="BodyText"/>
        <w:keepNext/>
        <w:jc w:val="center"/>
      </w:pPr>
      <w:r>
        <w:rPr>
          <w:rFonts w:eastAsia="MS Mincho"/>
          <w:szCs w:val="24"/>
          <w:lang w:eastAsia="en-GB"/>
        </w:rPr>
        <w:object w:dxaOrig="5655" w:dyaOrig="4230" w14:anchorId="5ED989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75pt;height:211.5pt" o:ole="">
            <v:imagedata r:id="rId11" o:title=""/>
          </v:shape>
          <o:OLEObject Type="Embed" ProgID="Visio.Drawing.11" ShapeID="_x0000_i1025" DrawAspect="Content" ObjectID="_1696360138" r:id="rId12"/>
        </w:object>
      </w:r>
    </w:p>
    <w:p w14:paraId="2E5DABE0" w14:textId="561EF758" w:rsidR="000E70B3" w:rsidRDefault="00F01B20" w:rsidP="00F01B20">
      <w:pPr>
        <w:pStyle w:val="Caption"/>
        <w:jc w:val="center"/>
      </w:pPr>
      <w:bookmarkStart w:id="1" w:name="_Ref85017654"/>
      <w:r>
        <w:t xml:space="preserve">Figure </w:t>
      </w:r>
      <w:r w:rsidR="00AA0175">
        <w:fldChar w:fldCharType="begin"/>
      </w:r>
      <w:r w:rsidR="00AA0175">
        <w:instrText xml:space="preserve"> SEQ Figure \* ARABIC </w:instrText>
      </w:r>
      <w:r w:rsidR="00AA0175">
        <w:fldChar w:fldCharType="separate"/>
      </w:r>
      <w:r w:rsidR="00A66ECA">
        <w:rPr>
          <w:noProof/>
        </w:rPr>
        <w:t>1</w:t>
      </w:r>
      <w:r w:rsidR="00AA0175">
        <w:rPr>
          <w:noProof/>
        </w:rPr>
        <w:fldChar w:fldCharType="end"/>
      </w:r>
      <w:bookmarkEnd w:id="1"/>
      <w:r>
        <w:t xml:space="preserve">: Option 1 for the </w:t>
      </w:r>
      <w:r w:rsidR="00657E2D">
        <w:t xml:space="preserve">long </w:t>
      </w:r>
      <w:r>
        <w:t>BSR MAC CE format</w:t>
      </w:r>
    </w:p>
    <w:p w14:paraId="7FCF91FB" w14:textId="77777777" w:rsidR="000E70B3" w:rsidRDefault="000E70B3" w:rsidP="000E70B3">
      <w:pPr>
        <w:rPr>
          <w:lang w:val="en-CA"/>
        </w:rPr>
      </w:pPr>
    </w:p>
    <w:p w14:paraId="59204464" w14:textId="2199E2EB" w:rsidR="000E70B3" w:rsidRDefault="00657E2D" w:rsidP="000E70B3">
      <w:pPr>
        <w:rPr>
          <w:lang w:val="en-CA"/>
        </w:rPr>
      </w:pPr>
      <w:r w:rsidRPr="00226A3C">
        <w:rPr>
          <w:rFonts w:ascii="Arial" w:hAnsi="Arial" w:cs="Arial"/>
          <w:b/>
          <w:bCs/>
          <w:u w:val="single"/>
        </w:rPr>
        <w:t>Option 2:</w:t>
      </w:r>
      <w:r>
        <w:rPr>
          <w:lang w:val="en-CA"/>
        </w:rPr>
        <w:t xml:space="preserve"> </w:t>
      </w:r>
      <w:r w:rsidRPr="00226A3C">
        <w:rPr>
          <w:rFonts w:ascii="Arial" w:hAnsi="Arial" w:cs="Arial"/>
        </w:rPr>
        <w:t xml:space="preserve">A static long BSR is depicted in </w:t>
      </w:r>
      <w:r w:rsidR="00A50F75" w:rsidRPr="00226A3C">
        <w:rPr>
          <w:rFonts w:ascii="Arial" w:hAnsi="Arial" w:cs="Arial"/>
        </w:rPr>
        <w:fldChar w:fldCharType="begin"/>
      </w:r>
      <w:r w:rsidR="00A50F75" w:rsidRPr="00226A3C">
        <w:rPr>
          <w:rFonts w:ascii="Arial" w:hAnsi="Arial" w:cs="Arial"/>
        </w:rPr>
        <w:instrText xml:space="preserve"> REF _Ref85017700 \h </w:instrText>
      </w:r>
      <w:r w:rsidR="00226A3C">
        <w:rPr>
          <w:rFonts w:ascii="Arial" w:hAnsi="Arial" w:cs="Arial"/>
        </w:rPr>
        <w:instrText xml:space="preserve"> \* MERGEFORMAT </w:instrText>
      </w:r>
      <w:r w:rsidR="00A50F75" w:rsidRPr="00226A3C">
        <w:rPr>
          <w:rFonts w:ascii="Arial" w:hAnsi="Arial" w:cs="Arial"/>
        </w:rPr>
      </w:r>
      <w:r w:rsidR="00A50F75" w:rsidRPr="00226A3C">
        <w:rPr>
          <w:rFonts w:ascii="Arial" w:hAnsi="Arial" w:cs="Arial"/>
        </w:rPr>
        <w:fldChar w:fldCharType="separate"/>
      </w:r>
      <w:r w:rsidR="00A66ECA" w:rsidRPr="00A66ECA">
        <w:rPr>
          <w:rFonts w:ascii="Arial" w:hAnsi="Arial" w:cs="Arial"/>
        </w:rPr>
        <w:t>Figure 2</w:t>
      </w:r>
      <w:r w:rsidR="00A50F75" w:rsidRPr="00226A3C">
        <w:rPr>
          <w:rFonts w:ascii="Arial" w:hAnsi="Arial" w:cs="Arial"/>
        </w:rPr>
        <w:fldChar w:fldCharType="end"/>
      </w:r>
      <w:r w:rsidR="00223B1B" w:rsidRPr="00226A3C">
        <w:rPr>
          <w:rFonts w:ascii="Arial" w:hAnsi="Arial" w:cs="Arial"/>
        </w:rPr>
        <w:t>. In this option, the IAB node includes all the 256 LCGs, irrespective of whether there are data or not for all of them.</w:t>
      </w:r>
    </w:p>
    <w:p w14:paraId="71445896" w14:textId="0BD12D83" w:rsidR="00657E2D" w:rsidRDefault="007B330B" w:rsidP="00657E2D">
      <w:pPr>
        <w:keepNext/>
        <w:jc w:val="center"/>
      </w:pPr>
      <w:r>
        <w:object w:dxaOrig="6945" w:dyaOrig="5026" w14:anchorId="7A46DE75">
          <v:shape id="_x0000_i1026" type="#_x0000_t75" style="width:347.25pt;height:251.25pt" o:ole="">
            <v:imagedata r:id="rId13" o:title=""/>
          </v:shape>
          <o:OLEObject Type="Embed" ProgID="Visio.Drawing.15" ShapeID="_x0000_i1026" DrawAspect="Content" ObjectID="_1696360139" r:id="rId14"/>
        </w:object>
      </w:r>
    </w:p>
    <w:p w14:paraId="45EC940F" w14:textId="4C212E60" w:rsidR="000E70B3" w:rsidRDefault="00657E2D" w:rsidP="00657E2D">
      <w:pPr>
        <w:pStyle w:val="Caption"/>
        <w:jc w:val="center"/>
        <w:rPr>
          <w:lang w:val="en-CA"/>
        </w:rPr>
      </w:pPr>
      <w:bookmarkStart w:id="2" w:name="_Ref85017700"/>
      <w:r>
        <w:t xml:space="preserve">Figure </w:t>
      </w:r>
      <w:r w:rsidR="00AA0175">
        <w:fldChar w:fldCharType="begin"/>
      </w:r>
      <w:r w:rsidR="00AA0175">
        <w:instrText xml:space="preserve"> SEQ Figure \* ARABIC </w:instrText>
      </w:r>
      <w:r w:rsidR="00AA0175">
        <w:fldChar w:fldCharType="separate"/>
      </w:r>
      <w:r w:rsidR="00A66ECA">
        <w:rPr>
          <w:noProof/>
        </w:rPr>
        <w:t>2</w:t>
      </w:r>
      <w:r w:rsidR="00AA0175">
        <w:rPr>
          <w:noProof/>
        </w:rPr>
        <w:fldChar w:fldCharType="end"/>
      </w:r>
      <w:bookmarkEnd w:id="2"/>
      <w:r>
        <w:t>: Option 2 for the long BSR MAC CE format</w:t>
      </w:r>
    </w:p>
    <w:p w14:paraId="13C5A45F" w14:textId="3994F014" w:rsidR="000E70B3" w:rsidRPr="00877DC7" w:rsidRDefault="00226A3C" w:rsidP="003C6C80">
      <w:pPr>
        <w:rPr>
          <w:rFonts w:ascii="Arial" w:hAnsi="Arial" w:cs="Arial"/>
        </w:rPr>
      </w:pPr>
      <w:r w:rsidRPr="00877DC7">
        <w:rPr>
          <w:rFonts w:ascii="Arial" w:hAnsi="Arial" w:cs="Arial"/>
        </w:rPr>
        <w:t>Option 1 has the potential to be more effective than option 2 when only few LCGs are used. However, when many LCGs are used</w:t>
      </w:r>
      <w:r w:rsidR="00E76A50" w:rsidRPr="00877DC7">
        <w:rPr>
          <w:rFonts w:ascii="Arial" w:hAnsi="Arial" w:cs="Arial"/>
        </w:rPr>
        <w:t>,</w:t>
      </w:r>
      <w:r w:rsidRPr="00877DC7">
        <w:rPr>
          <w:rFonts w:ascii="Arial" w:hAnsi="Arial" w:cs="Arial"/>
        </w:rPr>
        <w:t xml:space="preserve"> the BSR MAC CE will become very big</w:t>
      </w:r>
      <w:r w:rsidR="00AD25AC">
        <w:rPr>
          <w:rFonts w:ascii="Arial" w:hAnsi="Arial" w:cs="Arial"/>
        </w:rPr>
        <w:t xml:space="preserve"> (up to half a kiloByte)</w:t>
      </w:r>
      <w:r w:rsidRPr="00877DC7">
        <w:rPr>
          <w:rFonts w:ascii="Arial" w:hAnsi="Arial" w:cs="Arial"/>
        </w:rPr>
        <w:t xml:space="preserve">, which is not certainly desirable. </w:t>
      </w:r>
      <w:r w:rsidR="00B12C8C" w:rsidRPr="00877DC7">
        <w:rPr>
          <w:rFonts w:ascii="Arial" w:hAnsi="Arial" w:cs="Arial"/>
        </w:rPr>
        <w:t xml:space="preserve">On the other hand, option 2 has the drawback that in case not all the 256 LCGs are configured by the network, many of the first 32 octets in </w:t>
      </w:r>
      <w:r w:rsidR="00B12C8C" w:rsidRPr="00877DC7">
        <w:rPr>
          <w:rFonts w:ascii="Arial" w:hAnsi="Arial" w:cs="Arial"/>
        </w:rPr>
        <w:fldChar w:fldCharType="begin"/>
      </w:r>
      <w:r w:rsidR="00B12C8C" w:rsidRPr="00877DC7">
        <w:rPr>
          <w:rFonts w:ascii="Arial" w:hAnsi="Arial" w:cs="Arial"/>
        </w:rPr>
        <w:instrText xml:space="preserve"> REF _Ref85017700 \h </w:instrText>
      </w:r>
      <w:r w:rsidR="00877DC7">
        <w:rPr>
          <w:rFonts w:ascii="Arial" w:hAnsi="Arial" w:cs="Arial"/>
        </w:rPr>
        <w:instrText xml:space="preserve"> \* MERGEFORMAT </w:instrText>
      </w:r>
      <w:r w:rsidR="00B12C8C" w:rsidRPr="00877DC7">
        <w:rPr>
          <w:rFonts w:ascii="Arial" w:hAnsi="Arial" w:cs="Arial"/>
        </w:rPr>
      </w:r>
      <w:r w:rsidR="00B12C8C" w:rsidRPr="00877DC7">
        <w:rPr>
          <w:rFonts w:ascii="Arial" w:hAnsi="Arial" w:cs="Arial"/>
        </w:rPr>
        <w:fldChar w:fldCharType="separate"/>
      </w:r>
      <w:r w:rsidR="00A66ECA" w:rsidRPr="00A66ECA">
        <w:rPr>
          <w:rFonts w:ascii="Arial" w:hAnsi="Arial" w:cs="Arial"/>
        </w:rPr>
        <w:t>Figure 2</w:t>
      </w:r>
      <w:r w:rsidR="00B12C8C" w:rsidRPr="00877DC7">
        <w:rPr>
          <w:rFonts w:ascii="Arial" w:hAnsi="Arial" w:cs="Arial"/>
        </w:rPr>
        <w:fldChar w:fldCharType="end"/>
      </w:r>
      <w:r w:rsidR="00B12C8C" w:rsidRPr="00877DC7">
        <w:rPr>
          <w:rFonts w:ascii="Arial" w:hAnsi="Arial" w:cs="Arial"/>
        </w:rPr>
        <w:t xml:space="preserve"> are wasted.</w:t>
      </w:r>
    </w:p>
    <w:p w14:paraId="138B5236" w14:textId="62DDA460" w:rsidR="00877DC7" w:rsidRDefault="00B12C8C" w:rsidP="003C6C80">
      <w:pPr>
        <w:rPr>
          <w:rFonts w:ascii="Arial" w:hAnsi="Arial" w:cs="Arial"/>
        </w:rPr>
      </w:pPr>
      <w:r w:rsidRPr="00877DC7">
        <w:rPr>
          <w:rFonts w:ascii="Arial" w:hAnsi="Arial" w:cs="Arial"/>
        </w:rPr>
        <w:t xml:space="preserve">Our proposal is then to adopt Option 2, but the UE </w:t>
      </w:r>
      <w:r w:rsidR="001F66EE" w:rsidRPr="00877DC7">
        <w:rPr>
          <w:rFonts w:ascii="Arial" w:hAnsi="Arial" w:cs="Arial"/>
        </w:rPr>
        <w:t xml:space="preserve">should also take into account which </w:t>
      </w:r>
      <w:r w:rsidRPr="00877DC7">
        <w:rPr>
          <w:rFonts w:ascii="Arial" w:hAnsi="Arial" w:cs="Arial"/>
        </w:rPr>
        <w:t>LCGs are actually configured by the network</w:t>
      </w:r>
      <w:r w:rsidR="00877DC7">
        <w:rPr>
          <w:rFonts w:ascii="Arial" w:hAnsi="Arial" w:cs="Arial"/>
        </w:rPr>
        <w:t>, so that the UE does not include unnecessarily octets which do not contain any configured LCG</w:t>
      </w:r>
      <w:r w:rsidR="002744EC" w:rsidRPr="00877DC7">
        <w:rPr>
          <w:rFonts w:ascii="Arial" w:hAnsi="Arial" w:cs="Arial"/>
        </w:rPr>
        <w:t xml:space="preserve">. </w:t>
      </w:r>
    </w:p>
    <w:p w14:paraId="6BF7F101" w14:textId="2B748CAC" w:rsidR="00877DC7" w:rsidRDefault="00877DC7" w:rsidP="00877DC7">
      <w:pPr>
        <w:pStyle w:val="Observation"/>
      </w:pPr>
      <w:bookmarkStart w:id="3" w:name="_Toc85743451"/>
      <w:r>
        <w:t xml:space="preserve">Option 2 is the preferred option because it allows smaller size when a large number of LCGs is configured. However, the UE should avoid including </w:t>
      </w:r>
      <w:r w:rsidR="00142038">
        <w:t xml:space="preserve">unnecessarily </w:t>
      </w:r>
      <w:r>
        <w:t xml:space="preserve">octets which do not </w:t>
      </w:r>
      <w:r w:rsidR="00142038">
        <w:t>contain any configured LCG.</w:t>
      </w:r>
      <w:bookmarkEnd w:id="3"/>
    </w:p>
    <w:p w14:paraId="20FF5C01" w14:textId="1A4E3594" w:rsidR="00930FC1" w:rsidRDefault="001F66EE" w:rsidP="003C6C80">
      <w:pPr>
        <w:rPr>
          <w:rFonts w:ascii="Arial" w:hAnsi="Arial" w:cs="Arial"/>
        </w:rPr>
      </w:pPr>
      <w:r w:rsidRPr="00877DC7">
        <w:rPr>
          <w:rFonts w:ascii="Arial" w:hAnsi="Arial" w:cs="Arial"/>
        </w:rPr>
        <w:lastRenderedPageBreak/>
        <w:t xml:space="preserve">Considering the BSR MAC CE format in </w:t>
      </w:r>
      <w:r w:rsidRPr="00877DC7">
        <w:rPr>
          <w:rFonts w:ascii="Arial" w:hAnsi="Arial" w:cs="Arial"/>
        </w:rPr>
        <w:fldChar w:fldCharType="begin"/>
      </w:r>
      <w:r w:rsidRPr="00877DC7">
        <w:rPr>
          <w:rFonts w:ascii="Arial" w:hAnsi="Arial" w:cs="Arial"/>
        </w:rPr>
        <w:instrText xml:space="preserve"> REF _Ref85017700 \h </w:instrText>
      </w:r>
      <w:r w:rsidR="00877DC7">
        <w:rPr>
          <w:rFonts w:ascii="Arial" w:hAnsi="Arial" w:cs="Arial"/>
        </w:rPr>
        <w:instrText xml:space="preserve"> \* MERGEFORMAT </w:instrText>
      </w:r>
      <w:r w:rsidRPr="00877DC7">
        <w:rPr>
          <w:rFonts w:ascii="Arial" w:hAnsi="Arial" w:cs="Arial"/>
        </w:rPr>
      </w:r>
      <w:r w:rsidRPr="00877DC7">
        <w:rPr>
          <w:rFonts w:ascii="Arial" w:hAnsi="Arial" w:cs="Arial"/>
        </w:rPr>
        <w:fldChar w:fldCharType="separate"/>
      </w:r>
      <w:r w:rsidR="00A66ECA" w:rsidRPr="00A66ECA">
        <w:rPr>
          <w:rFonts w:ascii="Arial" w:hAnsi="Arial" w:cs="Arial"/>
        </w:rPr>
        <w:t>Figure 2</w:t>
      </w:r>
      <w:r w:rsidRPr="00877DC7">
        <w:rPr>
          <w:rFonts w:ascii="Arial" w:hAnsi="Arial" w:cs="Arial"/>
        </w:rPr>
        <w:fldChar w:fldCharType="end"/>
      </w:r>
      <w:r w:rsidRPr="00877DC7">
        <w:rPr>
          <w:rFonts w:ascii="Arial" w:hAnsi="Arial" w:cs="Arial"/>
        </w:rPr>
        <w:t xml:space="preserve">, this implies that the UE shall include an octet containing the LCG fields, only if there is at least one LCG field of that octet or of a successive octet that is actually configured. </w:t>
      </w:r>
      <w:r w:rsidR="00930FC1">
        <w:rPr>
          <w:rFonts w:ascii="Arial" w:hAnsi="Arial" w:cs="Arial"/>
        </w:rPr>
        <w:t>That is because it could occasionally happen that due to the release of certain BH RLC channels, the UE has configured non-contiguous LCGs. In such case, even if one octet X has no LCG configured, but one of the next octets Y has an LCG configured, the UE includes all the octets until Y.</w:t>
      </w:r>
      <w:r w:rsidR="00D70801">
        <w:rPr>
          <w:rFonts w:ascii="Arial" w:hAnsi="Arial" w:cs="Arial"/>
        </w:rPr>
        <w:t xml:space="preserve"> </w:t>
      </w:r>
      <w:r w:rsidR="00123698">
        <w:rPr>
          <w:rFonts w:ascii="Arial" w:hAnsi="Arial" w:cs="Arial"/>
        </w:rPr>
        <w:t xml:space="preserve">However, if such an octet and the successive octets do not contain any configured LCG, the UE should not report at all this octet and the successive octets. </w:t>
      </w:r>
    </w:p>
    <w:p w14:paraId="13AC4DCF" w14:textId="197F7D66" w:rsidR="00734640" w:rsidRDefault="00734640" w:rsidP="00734640">
      <w:pPr>
        <w:pStyle w:val="Observation"/>
      </w:pPr>
      <w:bookmarkStart w:id="4" w:name="_Toc85743452"/>
      <w:r>
        <w:t>In case the UE remains configured with non-contiguous LCGs in the LCG space, all the octets until the last octet with a configured LCG should be included to avoid confusing the network</w:t>
      </w:r>
      <w:r w:rsidR="00D70801">
        <w:t>.</w:t>
      </w:r>
      <w:bookmarkEnd w:id="4"/>
    </w:p>
    <w:p w14:paraId="4AFA769D" w14:textId="7B2165B7" w:rsidR="00E41F04" w:rsidRPr="00E41F04" w:rsidRDefault="00E41F04" w:rsidP="00E41F04">
      <w:pPr>
        <w:rPr>
          <w:rFonts w:ascii="Arial" w:hAnsi="Arial" w:cs="Arial"/>
        </w:rPr>
      </w:pPr>
      <w:r w:rsidRPr="00E41F04">
        <w:rPr>
          <w:rFonts w:ascii="Arial" w:hAnsi="Arial" w:cs="Arial"/>
        </w:rPr>
        <w:t>The same solution described above can obviously be applied also to the pre-emptive BSR.</w:t>
      </w:r>
    </w:p>
    <w:p w14:paraId="3527DF28" w14:textId="3EE80F71" w:rsidR="007B330B" w:rsidRPr="003C6C80" w:rsidRDefault="007B330B" w:rsidP="007B330B">
      <w:pPr>
        <w:pStyle w:val="Proposal"/>
      </w:pPr>
      <w:bookmarkStart w:id="5" w:name="_Toc85743454"/>
      <w:r>
        <w:t xml:space="preserve">The </w:t>
      </w:r>
      <w:r w:rsidR="00977280">
        <w:t>L</w:t>
      </w:r>
      <w:r>
        <w:t xml:space="preserve">ong </w:t>
      </w:r>
      <w:r w:rsidR="00977280">
        <w:t xml:space="preserve">and the Pre-emptive </w:t>
      </w:r>
      <w:r>
        <w:t>BSR MAC CE</w:t>
      </w:r>
      <w:r w:rsidR="00977280">
        <w:t xml:space="preserve"> </w:t>
      </w:r>
      <w:r>
        <w:t xml:space="preserve">is represented </w:t>
      </w:r>
      <w:r w:rsidR="001F66EE">
        <w:t xml:space="preserve">by the format depicted in </w:t>
      </w:r>
      <w:r w:rsidR="001F66EE">
        <w:fldChar w:fldCharType="begin"/>
      </w:r>
      <w:r w:rsidR="001F66EE">
        <w:instrText xml:space="preserve"> REF _Ref85017700 \h </w:instrText>
      </w:r>
      <w:r w:rsidR="001F66EE">
        <w:fldChar w:fldCharType="separate"/>
      </w:r>
      <w:r w:rsidR="00A66ECA">
        <w:t xml:space="preserve">Figure </w:t>
      </w:r>
      <w:r w:rsidR="00A66ECA">
        <w:rPr>
          <w:noProof/>
        </w:rPr>
        <w:t>2</w:t>
      </w:r>
      <w:r w:rsidR="001F66EE">
        <w:fldChar w:fldCharType="end"/>
      </w:r>
      <w:r w:rsidR="001F66EE">
        <w:t xml:space="preserve">, wherein an octet containing the LCG fields is included in the BSR MAC CE only if there is at least one LCG field of such octet or of a successive octet that is configured by the network, i.e. octet 1 is included only if there is at least </w:t>
      </w:r>
      <w:r w:rsidR="000B475B">
        <w:t xml:space="preserve">one LCG configured, octet 2 is included only if </w:t>
      </w:r>
      <w:r w:rsidR="00250C14">
        <w:t xml:space="preserve">at least one </w:t>
      </w:r>
      <w:r w:rsidR="000B475B">
        <w:t xml:space="preserve">LCG </w:t>
      </w:r>
      <w:r w:rsidR="00250C14">
        <w:t>above</w:t>
      </w:r>
      <w:r w:rsidR="000B475B">
        <w:t xml:space="preserve"> LCG</w:t>
      </w:r>
      <w:r w:rsidR="00250C14">
        <w:t>7</w:t>
      </w:r>
      <w:r w:rsidR="000B475B">
        <w:t xml:space="preserve"> is configured, octet 3 is included only if </w:t>
      </w:r>
      <w:r w:rsidR="00250C14">
        <w:t xml:space="preserve">at least </w:t>
      </w:r>
      <w:r w:rsidR="000B475B">
        <w:t xml:space="preserve">one LCG </w:t>
      </w:r>
      <w:r w:rsidR="00250C14">
        <w:t>above</w:t>
      </w:r>
      <w:r w:rsidR="000B475B">
        <w:t xml:space="preserve"> LCG</w:t>
      </w:r>
      <w:r w:rsidR="00596246">
        <w:t>1</w:t>
      </w:r>
      <w:r w:rsidR="00250C14">
        <w:t>5</w:t>
      </w:r>
      <w:r w:rsidR="000B475B">
        <w:t xml:space="preserve"> is configured, and so on, until octet 32 that is included only if at least one LCG </w:t>
      </w:r>
      <w:r w:rsidR="00250C14">
        <w:t>above</w:t>
      </w:r>
      <w:r w:rsidR="000B475B">
        <w:t xml:space="preserve"> LCG24</w:t>
      </w:r>
      <w:r w:rsidR="00250C14">
        <w:t>7</w:t>
      </w:r>
      <w:r w:rsidR="000B475B">
        <w:t xml:space="preserve"> is configured.</w:t>
      </w:r>
      <w:bookmarkEnd w:id="5"/>
    </w:p>
    <w:p w14:paraId="1BBC2C41" w14:textId="33DF5501" w:rsidR="00877DC7" w:rsidRDefault="00D70801" w:rsidP="00AA6412">
      <w:pPr>
        <w:rPr>
          <w:rFonts w:ascii="Arial" w:hAnsi="Arial" w:cs="Arial"/>
        </w:rPr>
      </w:pPr>
      <w:r>
        <w:rPr>
          <w:rFonts w:ascii="Arial" w:hAnsi="Arial" w:cs="Arial"/>
        </w:rPr>
        <w:t xml:space="preserve">Given the above proposal, the number of the octets including the LCGs can vary depending on the LCG configuration. However, the network is always aware of which LCGs are configured and hence of the number of octets </w:t>
      </w:r>
      <w:r w:rsidR="00C124F9">
        <w:rPr>
          <w:rFonts w:ascii="Arial" w:hAnsi="Arial" w:cs="Arial"/>
        </w:rPr>
        <w:t>associated to</w:t>
      </w:r>
      <w:r>
        <w:rPr>
          <w:rFonts w:ascii="Arial" w:hAnsi="Arial" w:cs="Arial"/>
        </w:rPr>
        <w:t xml:space="preserve"> the LCGs that the UE will include in the BSR MAC CE. For this reason, we do not need to define multiple eLCIDs depending on the BSR MAC CE size. One eLCID is would work.</w:t>
      </w:r>
    </w:p>
    <w:p w14:paraId="470BA728" w14:textId="4D7DFA9B" w:rsidR="00D70801" w:rsidRDefault="00A90695" w:rsidP="00A90695">
      <w:pPr>
        <w:pStyle w:val="Proposal"/>
      </w:pPr>
      <w:bookmarkStart w:id="6" w:name="_Toc85743455"/>
      <w:r>
        <w:t>A single eLCID is allocated for the new long BSR MAC CE format.</w:t>
      </w:r>
      <w:bookmarkEnd w:id="6"/>
    </w:p>
    <w:p w14:paraId="2F5F997A" w14:textId="23CF1E99" w:rsidR="00C124F9" w:rsidRDefault="003525FA" w:rsidP="00C124F9">
      <w:pPr>
        <w:pStyle w:val="Heading2"/>
        <w:rPr>
          <w:rFonts w:cs="Arial"/>
        </w:rPr>
      </w:pPr>
      <w:r w:rsidRPr="00AA6412">
        <w:rPr>
          <w:rFonts w:asciiTheme="minorHAnsi" w:hAnsiTheme="minorHAnsi" w:cstheme="minorHAnsi"/>
        </w:rPr>
        <w:t>2.1</w:t>
      </w:r>
      <w:r w:rsidRPr="00AA6412">
        <w:rPr>
          <w:rFonts w:asciiTheme="minorHAnsi" w:hAnsiTheme="minorHAnsi" w:cstheme="minorHAnsi"/>
        </w:rPr>
        <w:tab/>
      </w:r>
      <w:r w:rsidR="00C124F9" w:rsidRPr="002A30EB">
        <w:t>On the need of the UL HbH flow control</w:t>
      </w:r>
    </w:p>
    <w:p w14:paraId="5846D9E5" w14:textId="05531783" w:rsidR="00C124F9" w:rsidRDefault="00C673A8" w:rsidP="00862F69">
      <w:pPr>
        <w:rPr>
          <w:rFonts w:ascii="Arial" w:hAnsi="Arial" w:cs="Arial"/>
        </w:rPr>
      </w:pPr>
      <w:r>
        <w:rPr>
          <w:rFonts w:ascii="Arial" w:hAnsi="Arial" w:cs="Arial"/>
        </w:rPr>
        <w:t xml:space="preserve">The UL HbH flow control </w:t>
      </w:r>
      <w:r w:rsidR="00C124F9">
        <w:rPr>
          <w:rFonts w:ascii="Arial" w:hAnsi="Arial" w:cs="Arial"/>
        </w:rPr>
        <w:t>has been discussed at length during the past RAN2 meetings, but benefits of it are still uncertain.</w:t>
      </w:r>
      <w:r w:rsidR="00B81366">
        <w:rPr>
          <w:rFonts w:ascii="Arial" w:hAnsi="Arial" w:cs="Arial"/>
        </w:rPr>
        <w:t xml:space="preserve"> However, the </w:t>
      </w:r>
      <w:r w:rsidR="000D727C">
        <w:rPr>
          <w:rFonts w:ascii="Arial" w:hAnsi="Arial" w:cs="Arial"/>
        </w:rPr>
        <w:t>R</w:t>
      </w:r>
      <w:r w:rsidR="00B81366">
        <w:rPr>
          <w:rFonts w:ascii="Arial" w:hAnsi="Arial" w:cs="Arial"/>
        </w:rPr>
        <w:t xml:space="preserve">apporteur </w:t>
      </w:r>
      <w:r w:rsidR="000D727C">
        <w:rPr>
          <w:rFonts w:ascii="Arial" w:hAnsi="Arial" w:cs="Arial"/>
        </w:rPr>
        <w:t>view is</w:t>
      </w:r>
      <w:r w:rsidR="00B81366">
        <w:rPr>
          <w:rFonts w:ascii="Arial" w:hAnsi="Arial" w:cs="Arial"/>
        </w:rPr>
        <w:t xml:space="preserve"> to have a “</w:t>
      </w:r>
      <w:r w:rsidR="00B81366" w:rsidRPr="00B81366">
        <w:rPr>
          <w:rFonts w:ascii="Arial" w:hAnsi="Arial" w:cs="Arial"/>
        </w:rPr>
        <w:t>Final discussion if UL hop-by-hop flow control is in or out</w:t>
      </w:r>
      <w:r w:rsidR="00B81366">
        <w:rPr>
          <w:rFonts w:ascii="Arial" w:hAnsi="Arial" w:cs="Arial"/>
        </w:rPr>
        <w:t>”.</w:t>
      </w:r>
    </w:p>
    <w:p w14:paraId="32F95547" w14:textId="017F4240" w:rsidR="00193A1F" w:rsidRDefault="00C124F9" w:rsidP="00862F69">
      <w:pPr>
        <w:rPr>
          <w:rFonts w:ascii="Arial" w:hAnsi="Arial" w:cs="Arial"/>
        </w:rPr>
      </w:pPr>
      <w:r>
        <w:rPr>
          <w:rFonts w:ascii="Arial" w:hAnsi="Arial" w:cs="Arial"/>
        </w:rPr>
        <w:t xml:space="preserve">The UL HbH flow control </w:t>
      </w:r>
      <w:r w:rsidR="00C673A8">
        <w:rPr>
          <w:rFonts w:ascii="Arial" w:hAnsi="Arial" w:cs="Arial"/>
        </w:rPr>
        <w:t xml:space="preserve">would consist of flow control information sent in the DL from the parent to the child, that would supposedly use for some local decisions. First of all, </w:t>
      </w:r>
      <w:r w:rsidR="00193A1F">
        <w:rPr>
          <w:rFonts w:ascii="Arial" w:hAnsi="Arial" w:cs="Arial"/>
        </w:rPr>
        <w:t>we note</w:t>
      </w:r>
      <w:r w:rsidR="00C673A8">
        <w:rPr>
          <w:rFonts w:ascii="Arial" w:hAnsi="Arial" w:cs="Arial"/>
        </w:rPr>
        <w:t xml:space="preserve"> that t</w:t>
      </w:r>
      <w:r w:rsidR="00C673A8" w:rsidRPr="00193A1F">
        <w:rPr>
          <w:rFonts w:ascii="Arial" w:hAnsi="Arial" w:cs="Arial"/>
        </w:rPr>
        <w:t xml:space="preserve">he UL scheduler resides in the parent, so it is not clear what the child should do upon receiving such information. That is different from the DL flow control feedback (sent from the child to the parent in the UL) because the parent does not know the DL buffer status of the child. However for the UL scheduling, the parent is in full control of the upstream traffic from child to parent. </w:t>
      </w:r>
      <w:r w:rsidR="006F0D3C" w:rsidRPr="00193A1F">
        <w:rPr>
          <w:rFonts w:ascii="Arial" w:hAnsi="Arial" w:cs="Arial"/>
        </w:rPr>
        <w:t xml:space="preserve">The child would obviously be affected by </w:t>
      </w:r>
      <w:r w:rsidR="00C673A8" w:rsidRPr="00193A1F">
        <w:rPr>
          <w:rFonts w:ascii="Arial" w:hAnsi="Arial" w:cs="Arial"/>
        </w:rPr>
        <w:t xml:space="preserve">UL scheduling decisions at the parent, </w:t>
      </w:r>
      <w:r w:rsidR="006F0D3C" w:rsidRPr="00193A1F">
        <w:rPr>
          <w:rFonts w:ascii="Arial" w:hAnsi="Arial" w:cs="Arial"/>
        </w:rPr>
        <w:t xml:space="preserve">however it can simply determining by its UL buffer status whether UL congestion is occurring, i.e. the child </w:t>
      </w:r>
      <w:r w:rsidR="00C673A8" w:rsidRPr="00193A1F">
        <w:rPr>
          <w:rFonts w:ascii="Arial" w:hAnsi="Arial" w:cs="Arial"/>
        </w:rPr>
        <w:t>does not need any UL HbH flow control indication from the parent</w:t>
      </w:r>
      <w:r w:rsidR="006F0D3C" w:rsidRPr="00193A1F">
        <w:rPr>
          <w:rFonts w:ascii="Arial" w:hAnsi="Arial" w:cs="Arial"/>
        </w:rPr>
        <w:t xml:space="preserve"> to evaluate the UL congestion</w:t>
      </w:r>
      <w:r w:rsidR="00C673A8" w:rsidRPr="00193A1F">
        <w:rPr>
          <w:rFonts w:ascii="Arial" w:hAnsi="Arial" w:cs="Arial"/>
        </w:rPr>
        <w:t xml:space="preserve">. </w:t>
      </w:r>
    </w:p>
    <w:p w14:paraId="545F9E39" w14:textId="45B45A4F" w:rsidR="00C673A8" w:rsidRDefault="00C673A8" w:rsidP="00862F69">
      <w:pPr>
        <w:rPr>
          <w:rFonts w:ascii="Arial" w:hAnsi="Arial" w:cs="Arial"/>
        </w:rPr>
      </w:pPr>
      <w:r w:rsidRPr="00193A1F">
        <w:rPr>
          <w:rFonts w:ascii="Arial" w:hAnsi="Arial" w:cs="Arial"/>
        </w:rPr>
        <w:t xml:space="preserve">Hence it is not clear to us what is the technical motivation of </w:t>
      </w:r>
      <w:r w:rsidR="006F0D3C" w:rsidRPr="00193A1F">
        <w:rPr>
          <w:rFonts w:ascii="Arial" w:hAnsi="Arial" w:cs="Arial"/>
        </w:rPr>
        <w:t>the UL HbH flow control</w:t>
      </w:r>
      <w:r w:rsidR="00AF70EA" w:rsidRPr="00193A1F">
        <w:rPr>
          <w:rFonts w:ascii="Arial" w:hAnsi="Arial" w:cs="Arial"/>
        </w:rPr>
        <w:t xml:space="preserve">. </w:t>
      </w:r>
      <w:r w:rsidRPr="00193A1F">
        <w:rPr>
          <w:rFonts w:ascii="Arial" w:hAnsi="Arial" w:cs="Arial"/>
        </w:rPr>
        <w:t xml:space="preserve">If </w:t>
      </w:r>
      <w:r w:rsidR="006F0D3C" w:rsidRPr="00193A1F">
        <w:rPr>
          <w:rFonts w:ascii="Arial" w:hAnsi="Arial" w:cs="Arial"/>
        </w:rPr>
        <w:t>RAN2</w:t>
      </w:r>
      <w:r w:rsidRPr="00193A1F">
        <w:rPr>
          <w:rFonts w:ascii="Arial" w:hAnsi="Arial" w:cs="Arial"/>
        </w:rPr>
        <w:t xml:space="preserve"> intention is to enable some sort of local routing </w:t>
      </w:r>
      <w:r w:rsidR="00AF70EA" w:rsidRPr="00193A1F">
        <w:rPr>
          <w:rFonts w:ascii="Arial" w:hAnsi="Arial" w:cs="Arial"/>
        </w:rPr>
        <w:t>at</w:t>
      </w:r>
      <w:r w:rsidRPr="00193A1F">
        <w:rPr>
          <w:rFonts w:ascii="Arial" w:hAnsi="Arial" w:cs="Arial"/>
        </w:rPr>
        <w:t xml:space="preserve"> the child, </w:t>
      </w:r>
      <w:r w:rsidR="00AF70EA" w:rsidRPr="00193A1F">
        <w:rPr>
          <w:rFonts w:ascii="Arial" w:hAnsi="Arial" w:cs="Arial"/>
        </w:rPr>
        <w:t xml:space="preserve">that is certainly doable, </w:t>
      </w:r>
      <w:r w:rsidRPr="00193A1F">
        <w:rPr>
          <w:rFonts w:ascii="Arial" w:hAnsi="Arial" w:cs="Arial"/>
        </w:rPr>
        <w:t xml:space="preserve">but </w:t>
      </w:r>
      <w:r w:rsidR="006F0D3C" w:rsidRPr="00193A1F">
        <w:rPr>
          <w:rFonts w:ascii="Arial" w:hAnsi="Arial" w:cs="Arial"/>
        </w:rPr>
        <w:t xml:space="preserve">it just enough </w:t>
      </w:r>
      <w:r w:rsidRPr="00193A1F">
        <w:rPr>
          <w:rFonts w:ascii="Arial" w:hAnsi="Arial" w:cs="Arial"/>
        </w:rPr>
        <w:t>to act on the buffer status</w:t>
      </w:r>
      <w:r w:rsidR="006F0D3C" w:rsidRPr="00193A1F">
        <w:rPr>
          <w:rFonts w:ascii="Arial" w:hAnsi="Arial" w:cs="Arial"/>
        </w:rPr>
        <w:t xml:space="preserve"> at the child</w:t>
      </w:r>
      <w:r w:rsidRPr="00193A1F">
        <w:rPr>
          <w:rFonts w:ascii="Arial" w:hAnsi="Arial" w:cs="Arial"/>
        </w:rPr>
        <w:t xml:space="preserve">, e.g. the CU </w:t>
      </w:r>
      <w:r w:rsidR="006F0D3C" w:rsidRPr="00193A1F">
        <w:rPr>
          <w:rFonts w:ascii="Arial" w:hAnsi="Arial" w:cs="Arial"/>
        </w:rPr>
        <w:t xml:space="preserve">can </w:t>
      </w:r>
      <w:r w:rsidRPr="00193A1F">
        <w:rPr>
          <w:rFonts w:ascii="Arial" w:hAnsi="Arial" w:cs="Arial"/>
        </w:rPr>
        <w:t xml:space="preserve">configure rules on the </w:t>
      </w:r>
      <w:r w:rsidR="006F0D3C" w:rsidRPr="00193A1F">
        <w:rPr>
          <w:rFonts w:ascii="Arial" w:hAnsi="Arial" w:cs="Arial"/>
        </w:rPr>
        <w:t>UL</w:t>
      </w:r>
      <w:r w:rsidRPr="00193A1F">
        <w:rPr>
          <w:rFonts w:ascii="Arial" w:hAnsi="Arial" w:cs="Arial"/>
        </w:rPr>
        <w:t xml:space="preserve"> buffer status</w:t>
      </w:r>
      <w:r w:rsidR="006F0D3C" w:rsidRPr="00193A1F">
        <w:rPr>
          <w:rFonts w:ascii="Arial" w:hAnsi="Arial" w:cs="Arial"/>
        </w:rPr>
        <w:t xml:space="preserve"> at the child to enable local routing in the upstream</w:t>
      </w:r>
      <w:r w:rsidRPr="00193A1F">
        <w:rPr>
          <w:rFonts w:ascii="Arial" w:hAnsi="Arial" w:cs="Arial"/>
        </w:rPr>
        <w:t>.</w:t>
      </w:r>
    </w:p>
    <w:p w14:paraId="152015B8" w14:textId="05C5135C" w:rsidR="00D26EC8" w:rsidRDefault="006F0D3C" w:rsidP="00862F69">
      <w:pPr>
        <w:rPr>
          <w:rFonts w:ascii="Arial" w:hAnsi="Arial" w:cs="Arial"/>
        </w:rPr>
      </w:pPr>
      <w:r>
        <w:rPr>
          <w:rFonts w:ascii="Arial" w:hAnsi="Arial" w:cs="Arial"/>
        </w:rPr>
        <w:t>Given the above, also c</w:t>
      </w:r>
      <w:r w:rsidR="005D7CDC">
        <w:rPr>
          <w:rFonts w:ascii="Arial" w:hAnsi="Arial" w:cs="Arial"/>
        </w:rPr>
        <w:t>onsidering</w:t>
      </w:r>
      <w:r w:rsidR="00814E1D">
        <w:rPr>
          <w:rFonts w:ascii="Arial" w:hAnsi="Arial" w:cs="Arial"/>
        </w:rPr>
        <w:t xml:space="preserve"> the remaining limited </w:t>
      </w:r>
      <w:r w:rsidR="00B171A2">
        <w:rPr>
          <w:rFonts w:ascii="Arial" w:hAnsi="Arial" w:cs="Arial"/>
        </w:rPr>
        <w:t>number of</w:t>
      </w:r>
      <w:r w:rsidR="00F80C0C">
        <w:rPr>
          <w:rFonts w:ascii="Arial" w:hAnsi="Arial" w:cs="Arial"/>
        </w:rPr>
        <w:t xml:space="preserve"> time units for IAB Rel-17</w:t>
      </w:r>
      <w:r w:rsidR="0072006D">
        <w:rPr>
          <w:rFonts w:ascii="Arial" w:hAnsi="Arial" w:cs="Arial"/>
        </w:rPr>
        <w:t xml:space="preserve"> to be completed</w:t>
      </w:r>
      <w:r w:rsidR="00D947DA">
        <w:rPr>
          <w:rFonts w:ascii="Arial" w:hAnsi="Arial" w:cs="Arial"/>
        </w:rPr>
        <w:t xml:space="preserve">, RAN2 should </w:t>
      </w:r>
      <w:r w:rsidR="00FA4C8F">
        <w:rPr>
          <w:rFonts w:ascii="Arial" w:hAnsi="Arial" w:cs="Arial"/>
        </w:rPr>
        <w:t>aim at addressing</w:t>
      </w:r>
      <w:r w:rsidR="00FC357F">
        <w:rPr>
          <w:rFonts w:ascii="Arial" w:hAnsi="Arial" w:cs="Arial"/>
        </w:rPr>
        <w:t xml:space="preserve"> the issues shortlisted</w:t>
      </w:r>
      <w:r w:rsidR="00B30DF0">
        <w:rPr>
          <w:rFonts w:ascii="Arial" w:hAnsi="Arial" w:cs="Arial"/>
        </w:rPr>
        <w:t xml:space="preserve"> in RAN2#113e rather than </w:t>
      </w:r>
      <w:r w:rsidR="004B77BE">
        <w:rPr>
          <w:rFonts w:ascii="Arial" w:hAnsi="Arial" w:cs="Arial"/>
        </w:rPr>
        <w:t xml:space="preserve">including new </w:t>
      </w:r>
      <w:r w:rsidR="00D26EC8">
        <w:rPr>
          <w:rFonts w:ascii="Arial" w:hAnsi="Arial" w:cs="Arial"/>
        </w:rPr>
        <w:t>topics.</w:t>
      </w:r>
    </w:p>
    <w:p w14:paraId="55297A5C" w14:textId="5C679BE3" w:rsidR="007F6E68" w:rsidRPr="008B1623" w:rsidRDefault="006F0D3C" w:rsidP="00D26EC8">
      <w:pPr>
        <w:pStyle w:val="Observation"/>
      </w:pPr>
      <w:bookmarkStart w:id="7" w:name="_Toc85743453"/>
      <w:r>
        <w:rPr>
          <w:rFonts w:cs="Arial"/>
        </w:rPr>
        <w:t>It is not clear what is the benefit o</w:t>
      </w:r>
      <w:r w:rsidR="00B3657C">
        <w:rPr>
          <w:rFonts w:cs="Arial"/>
        </w:rPr>
        <w:t>f</w:t>
      </w:r>
      <w:r>
        <w:rPr>
          <w:rFonts w:cs="Arial"/>
        </w:rPr>
        <w:t xml:space="preserve"> the</w:t>
      </w:r>
      <w:r w:rsidR="00D26EC8">
        <w:rPr>
          <w:rFonts w:cs="Arial"/>
        </w:rPr>
        <w:t xml:space="preserve"> UL HbH flow control</w:t>
      </w:r>
      <w:r>
        <w:rPr>
          <w:rFonts w:cs="Arial"/>
        </w:rPr>
        <w:t xml:space="preserve"> </w:t>
      </w:r>
      <w:r w:rsidR="00D26EC8">
        <w:rPr>
          <w:rFonts w:cs="Arial"/>
        </w:rPr>
        <w:t xml:space="preserve">, </w:t>
      </w:r>
      <w:r>
        <w:rPr>
          <w:rFonts w:cs="Arial"/>
        </w:rPr>
        <w:t>given that the parent is in control of the UL scheduling and the child is aware of the UL buffer status</w:t>
      </w:r>
      <w:r w:rsidR="007F6E68">
        <w:rPr>
          <w:rFonts w:cs="Arial"/>
        </w:rPr>
        <w:t>.</w:t>
      </w:r>
      <w:bookmarkEnd w:id="7"/>
    </w:p>
    <w:p w14:paraId="4B87D924" w14:textId="150B3452" w:rsidR="006F0D3C" w:rsidRDefault="007F6E68" w:rsidP="003978E1">
      <w:pPr>
        <w:pStyle w:val="Proposal"/>
      </w:pPr>
      <w:bookmarkStart w:id="8" w:name="_Toc85743456"/>
      <w:r>
        <w:t xml:space="preserve">RAN2 </w:t>
      </w:r>
      <w:r w:rsidR="006F0D3C">
        <w:t xml:space="preserve">does not consider UL HbH flow control which was already downpriorized </w:t>
      </w:r>
      <w:r w:rsidR="00F4204D">
        <w:t>in RAN2#113e</w:t>
      </w:r>
      <w:r w:rsidR="00417228">
        <w:t>.</w:t>
      </w:r>
      <w:bookmarkEnd w:id="8"/>
    </w:p>
    <w:p w14:paraId="0E16EE0C" w14:textId="533E9746" w:rsidR="00862F69" w:rsidRPr="006F0D3C" w:rsidRDefault="006F0D3C" w:rsidP="003978E1">
      <w:pPr>
        <w:pStyle w:val="Proposal"/>
        <w:rPr>
          <w:rFonts w:cs="Arial"/>
          <w:lang w:eastAsia="ja-JP"/>
        </w:rPr>
      </w:pPr>
      <w:bookmarkStart w:id="9" w:name="_Toc85743457"/>
      <w:r w:rsidRPr="006F0D3C">
        <w:rPr>
          <w:rFonts w:cs="Arial"/>
          <w:lang w:eastAsia="ja-JP"/>
        </w:rPr>
        <w:t xml:space="preserve">If RAN2 intention is to enable local routing in the upstream, it would be enough to </w:t>
      </w:r>
      <w:r>
        <w:rPr>
          <w:rFonts w:cs="Arial"/>
          <w:lang w:eastAsia="ja-JP"/>
        </w:rPr>
        <w:t>introduce rules</w:t>
      </w:r>
      <w:r w:rsidR="00FC357F" w:rsidRPr="006F0D3C">
        <w:rPr>
          <w:rFonts w:cs="Arial"/>
          <w:lang w:eastAsia="ja-JP"/>
        </w:rPr>
        <w:t xml:space="preserve"> </w:t>
      </w:r>
      <w:r w:rsidRPr="006F0D3C">
        <w:rPr>
          <w:rFonts w:cs="Arial"/>
          <w:lang w:eastAsia="ja-JP"/>
        </w:rPr>
        <w:t xml:space="preserve">on the </w:t>
      </w:r>
      <w:r>
        <w:rPr>
          <w:rFonts w:cs="Arial"/>
          <w:lang w:eastAsia="ja-JP"/>
        </w:rPr>
        <w:t xml:space="preserve">UL </w:t>
      </w:r>
      <w:r w:rsidRPr="006F0D3C">
        <w:rPr>
          <w:rFonts w:cs="Arial"/>
          <w:lang w:eastAsia="ja-JP"/>
        </w:rPr>
        <w:t xml:space="preserve">buffer status at the child, e.g. </w:t>
      </w:r>
      <w:r w:rsidR="000D610A">
        <w:rPr>
          <w:rFonts w:cs="Arial"/>
          <w:lang w:eastAsia="ja-JP"/>
        </w:rPr>
        <w:t>based on implementation</w:t>
      </w:r>
      <w:r w:rsidRPr="006F0D3C">
        <w:rPr>
          <w:rFonts w:cs="Arial"/>
          <w:lang w:eastAsia="ja-JP"/>
        </w:rPr>
        <w:t xml:space="preserve">. No need </w:t>
      </w:r>
      <w:r>
        <w:rPr>
          <w:rFonts w:cs="Arial"/>
          <w:lang w:eastAsia="ja-JP"/>
        </w:rPr>
        <w:t>for the</w:t>
      </w:r>
      <w:r w:rsidRPr="006F0D3C">
        <w:rPr>
          <w:rFonts w:cs="Arial"/>
          <w:lang w:eastAsia="ja-JP"/>
        </w:rPr>
        <w:t xml:space="preserve"> UL HbH flow control for the sake of UL local routing.</w:t>
      </w:r>
      <w:bookmarkEnd w:id="9"/>
      <w:r w:rsidRPr="006F0D3C">
        <w:rPr>
          <w:rFonts w:cs="Arial"/>
          <w:lang w:eastAsia="ja-JP"/>
        </w:rPr>
        <w:t xml:space="preserve"> </w:t>
      </w:r>
      <w:r w:rsidR="00187E66" w:rsidRPr="006F0D3C">
        <w:rPr>
          <w:rFonts w:cs="Arial"/>
          <w:lang w:eastAsia="ja-JP"/>
        </w:rPr>
        <w:t xml:space="preserve"> </w:t>
      </w:r>
    </w:p>
    <w:p w14:paraId="7026E527" w14:textId="7803E581" w:rsidR="00C01F33" w:rsidRPr="00846488" w:rsidRDefault="00846488" w:rsidP="00CE0424">
      <w:pPr>
        <w:pStyle w:val="Heading1"/>
        <w:rPr>
          <w:rFonts w:asciiTheme="minorHAnsi" w:hAnsiTheme="minorHAnsi" w:cstheme="minorHAnsi"/>
          <w:sz w:val="40"/>
          <w:szCs w:val="22"/>
        </w:rPr>
      </w:pPr>
      <w:r w:rsidRPr="00846488">
        <w:rPr>
          <w:rFonts w:asciiTheme="minorHAnsi" w:hAnsiTheme="minorHAnsi" w:cstheme="minorHAnsi"/>
          <w:sz w:val="40"/>
          <w:szCs w:val="22"/>
        </w:rPr>
        <w:lastRenderedPageBreak/>
        <w:t>3</w:t>
      </w:r>
      <w:r w:rsidRPr="00846488">
        <w:rPr>
          <w:rFonts w:asciiTheme="minorHAnsi" w:hAnsiTheme="minorHAnsi" w:cstheme="minorHAnsi"/>
          <w:sz w:val="40"/>
          <w:szCs w:val="22"/>
        </w:rPr>
        <w:tab/>
      </w:r>
      <w:r w:rsidR="00C01F33" w:rsidRPr="00846488">
        <w:rPr>
          <w:rFonts w:asciiTheme="minorHAnsi" w:hAnsiTheme="minorHAnsi" w:cstheme="minorHAnsi"/>
          <w:sz w:val="40"/>
          <w:szCs w:val="22"/>
        </w:rPr>
        <w:t>Conclusion</w:t>
      </w:r>
    </w:p>
    <w:p w14:paraId="32680AC0" w14:textId="6195FC8C" w:rsidR="00A0393F" w:rsidRDefault="00A0393F" w:rsidP="00A0393F">
      <w:pPr>
        <w:pStyle w:val="BodyText"/>
        <w:rPr>
          <w:b/>
          <w:bCs/>
        </w:rPr>
      </w:pPr>
      <w:r>
        <w:t>In the previous sections</w:t>
      </w:r>
      <w:r w:rsidRPr="00CE0424">
        <w:t xml:space="preserve"> we </w:t>
      </w:r>
      <w:r>
        <w:t>made the following observations</w:t>
      </w:r>
      <w:r w:rsidRPr="00CE0424">
        <w:t>:</w:t>
      </w:r>
      <w:r>
        <w:rPr>
          <w:b/>
          <w:bCs/>
        </w:rPr>
        <w:t xml:space="preserve"> </w:t>
      </w:r>
    </w:p>
    <w:p w14:paraId="520665A5" w14:textId="77777777" w:rsidR="00657ACA" w:rsidRDefault="00657ACA" w:rsidP="00A0393F">
      <w:pPr>
        <w:pStyle w:val="BodyText"/>
        <w:rPr>
          <w:b/>
          <w:bCs/>
        </w:rPr>
      </w:pPr>
    </w:p>
    <w:p w14:paraId="6E4B3F23" w14:textId="77777777" w:rsidR="00A66ECA" w:rsidRDefault="004F0B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rPr>
        <w:fldChar w:fldCharType="begin"/>
      </w:r>
      <w:r w:rsidRPr="00AA6412">
        <w:rPr>
          <w:rFonts w:asciiTheme="minorHAnsi" w:hAnsiTheme="minorHAnsi" w:cstheme="minorHAnsi"/>
          <w:b w:val="0"/>
          <w:bCs/>
          <w:sz w:val="22"/>
          <w:szCs w:val="22"/>
        </w:rPr>
        <w:instrText xml:space="preserve"> TOC \f O \n \h \z \t "Observation" \c </w:instrText>
      </w:r>
      <w:r>
        <w:rPr>
          <w:b w:val="0"/>
        </w:rPr>
        <w:fldChar w:fldCharType="separate"/>
      </w:r>
      <w:hyperlink w:anchor="_Toc85743451" w:history="1">
        <w:r w:rsidR="00A66ECA" w:rsidRPr="00F6651A">
          <w:rPr>
            <w:rStyle w:val="Hyperlink"/>
            <w:noProof/>
          </w:rPr>
          <w:t>Observation 1</w:t>
        </w:r>
        <w:r w:rsidR="00A66ECA">
          <w:rPr>
            <w:rFonts w:asciiTheme="minorHAnsi" w:eastAsiaTheme="minorEastAsia" w:hAnsiTheme="minorHAnsi" w:cstheme="minorBidi"/>
            <w:b w:val="0"/>
            <w:noProof/>
            <w:sz w:val="22"/>
            <w:szCs w:val="22"/>
            <w:lang w:val="sv-SE" w:eastAsia="sv-SE"/>
          </w:rPr>
          <w:tab/>
        </w:r>
        <w:r w:rsidR="00A66ECA" w:rsidRPr="00F6651A">
          <w:rPr>
            <w:rStyle w:val="Hyperlink"/>
            <w:noProof/>
          </w:rPr>
          <w:t>Option 2 is the preferred option because it allows smaller size when a large number of LCGs is configured. However, the UE should avoid including unnecessarily octets which do not contain any configured LCG.</w:t>
        </w:r>
      </w:hyperlink>
    </w:p>
    <w:p w14:paraId="57C20598" w14:textId="77777777" w:rsidR="00A66ECA" w:rsidRDefault="00AA017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3452" w:history="1">
        <w:r w:rsidR="00A66ECA" w:rsidRPr="00F6651A">
          <w:rPr>
            <w:rStyle w:val="Hyperlink"/>
            <w:noProof/>
          </w:rPr>
          <w:t>Observation 2</w:t>
        </w:r>
        <w:r w:rsidR="00A66ECA">
          <w:rPr>
            <w:rFonts w:asciiTheme="minorHAnsi" w:eastAsiaTheme="minorEastAsia" w:hAnsiTheme="minorHAnsi" w:cstheme="minorBidi"/>
            <w:b w:val="0"/>
            <w:noProof/>
            <w:sz w:val="22"/>
            <w:szCs w:val="22"/>
            <w:lang w:val="sv-SE" w:eastAsia="sv-SE"/>
          </w:rPr>
          <w:tab/>
        </w:r>
        <w:r w:rsidR="00A66ECA" w:rsidRPr="00F6651A">
          <w:rPr>
            <w:rStyle w:val="Hyperlink"/>
            <w:noProof/>
          </w:rPr>
          <w:t>In case the UE remains configured with non-contiguous LCGs in the LCG space, all the octets until the last octet with a configured LCG should be included to avoid confusing the network.</w:t>
        </w:r>
      </w:hyperlink>
    </w:p>
    <w:p w14:paraId="495D7701" w14:textId="77777777" w:rsidR="00A66ECA" w:rsidRDefault="00AA017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3453" w:history="1">
        <w:r w:rsidR="00A66ECA" w:rsidRPr="00F6651A">
          <w:rPr>
            <w:rStyle w:val="Hyperlink"/>
            <w:noProof/>
          </w:rPr>
          <w:t>Observation 3</w:t>
        </w:r>
        <w:r w:rsidR="00A66ECA">
          <w:rPr>
            <w:rFonts w:asciiTheme="minorHAnsi" w:eastAsiaTheme="minorEastAsia" w:hAnsiTheme="minorHAnsi" w:cstheme="minorBidi"/>
            <w:b w:val="0"/>
            <w:noProof/>
            <w:sz w:val="22"/>
            <w:szCs w:val="22"/>
            <w:lang w:val="sv-SE" w:eastAsia="sv-SE"/>
          </w:rPr>
          <w:tab/>
        </w:r>
        <w:r w:rsidR="00A66ECA" w:rsidRPr="00F6651A">
          <w:rPr>
            <w:rStyle w:val="Hyperlink"/>
            <w:rFonts w:cs="Arial"/>
            <w:noProof/>
          </w:rPr>
          <w:t>It is not clear what is the benefit of the UL HbH flow control , given that the parent is in control of the UL scheduling and the child is aware of the UL buffer status.</w:t>
        </w:r>
      </w:hyperlink>
    </w:p>
    <w:p w14:paraId="4BB41650" w14:textId="21AB3296" w:rsidR="004F0BC9" w:rsidRDefault="004F0BC9" w:rsidP="004F0BC9">
      <w:pPr>
        <w:pStyle w:val="BodyText"/>
        <w:rPr>
          <w:rFonts w:eastAsiaTheme="minorEastAsia"/>
          <w:b/>
        </w:rPr>
      </w:pPr>
      <w:r>
        <w:rPr>
          <w:b/>
        </w:rPr>
        <w:fldChar w:fldCharType="end"/>
      </w:r>
    </w:p>
    <w:p w14:paraId="56C8C743" w14:textId="00DA8EC4" w:rsidR="004F0BC9" w:rsidRDefault="004F0BC9" w:rsidP="004F0BC9">
      <w:pPr>
        <w:pStyle w:val="BodyText"/>
      </w:pPr>
      <w:r w:rsidRPr="00CE0424">
        <w:t xml:space="preserve">Based on the discussion in </w:t>
      </w:r>
      <w:r>
        <w:t xml:space="preserve">the previous </w:t>
      </w:r>
      <w:r w:rsidRPr="00CE0424">
        <w:t>section</w:t>
      </w:r>
      <w:r>
        <w:t>s</w:t>
      </w:r>
      <w:r w:rsidRPr="00CE0424">
        <w:t xml:space="preserve"> we propose the following:</w:t>
      </w:r>
    </w:p>
    <w:p w14:paraId="5BA3B125" w14:textId="77777777" w:rsidR="00657ACA" w:rsidRDefault="00657ACA" w:rsidP="00A0393F">
      <w:pPr>
        <w:pStyle w:val="BodyText"/>
      </w:pPr>
    </w:p>
    <w:p w14:paraId="582DB8C0" w14:textId="77777777" w:rsidR="00A66ECA" w:rsidRDefault="004F0B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lang w:val="en-US"/>
        </w:rPr>
        <w:fldChar w:fldCharType="begin"/>
      </w:r>
      <w:r w:rsidRPr="00AA6412">
        <w:rPr>
          <w:rFonts w:asciiTheme="minorHAnsi" w:hAnsiTheme="minorHAnsi" w:cstheme="minorHAnsi"/>
          <w:b w:val="0"/>
          <w:bCs/>
          <w:sz w:val="22"/>
          <w:szCs w:val="22"/>
          <w:lang w:val="en-US"/>
        </w:rPr>
        <w:instrText xml:space="preserve"> TOC \n \h \z \t "Proposal" \c </w:instrText>
      </w:r>
      <w:r>
        <w:rPr>
          <w:b w:val="0"/>
          <w:lang w:val="en-US"/>
        </w:rPr>
        <w:fldChar w:fldCharType="separate"/>
      </w:r>
      <w:hyperlink w:anchor="_Toc85743454" w:history="1">
        <w:r w:rsidR="00A66ECA" w:rsidRPr="003033C3">
          <w:rPr>
            <w:rStyle w:val="Hyperlink"/>
            <w:rFonts w:cs="Arial"/>
            <w:noProof/>
          </w:rPr>
          <w:t>Proposal 1</w:t>
        </w:r>
        <w:r w:rsidR="00A66ECA">
          <w:rPr>
            <w:rFonts w:asciiTheme="minorHAnsi" w:eastAsiaTheme="minorEastAsia" w:hAnsiTheme="minorHAnsi" w:cstheme="minorBidi"/>
            <w:b w:val="0"/>
            <w:noProof/>
            <w:sz w:val="22"/>
            <w:szCs w:val="22"/>
            <w:lang w:val="sv-SE" w:eastAsia="sv-SE"/>
          </w:rPr>
          <w:tab/>
        </w:r>
        <w:r w:rsidR="00A66ECA" w:rsidRPr="003033C3">
          <w:rPr>
            <w:rStyle w:val="Hyperlink"/>
            <w:noProof/>
          </w:rPr>
          <w:t>The Long and the Pre-emptive BSR MAC CE is represented by the format depicted in Figure 2, wherein an octet containing the LCG fields is included in the BSR MAC CE only if there is at least one LCG field of such octet or of a successive octet that is configured by the network, i.e. octet 1 is included only if there is at least one LCG configured, octet 2 is included only if at least one LCG above LCG7 is configured, octet 3 is included only if at least one LCG above LCG15 is configured, and so on, until octet 32 that is included only if at least one LCG above LCG247 is configured.</w:t>
        </w:r>
      </w:hyperlink>
    </w:p>
    <w:p w14:paraId="6D15793C" w14:textId="77777777" w:rsidR="00A66ECA" w:rsidRDefault="00AA017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3455" w:history="1">
        <w:r w:rsidR="00A66ECA" w:rsidRPr="003033C3">
          <w:rPr>
            <w:rStyle w:val="Hyperlink"/>
            <w:rFonts w:cs="Arial"/>
            <w:noProof/>
          </w:rPr>
          <w:t>Proposal 2</w:t>
        </w:r>
        <w:r w:rsidR="00A66ECA">
          <w:rPr>
            <w:rFonts w:asciiTheme="minorHAnsi" w:eastAsiaTheme="minorEastAsia" w:hAnsiTheme="minorHAnsi" w:cstheme="minorBidi"/>
            <w:b w:val="0"/>
            <w:noProof/>
            <w:sz w:val="22"/>
            <w:szCs w:val="22"/>
            <w:lang w:val="sv-SE" w:eastAsia="sv-SE"/>
          </w:rPr>
          <w:tab/>
        </w:r>
        <w:r w:rsidR="00A66ECA" w:rsidRPr="003033C3">
          <w:rPr>
            <w:rStyle w:val="Hyperlink"/>
            <w:noProof/>
          </w:rPr>
          <w:t>A single eLCID is allocated for the new long BSR MAC CE format.</w:t>
        </w:r>
      </w:hyperlink>
    </w:p>
    <w:p w14:paraId="6BD8EAAE" w14:textId="77777777" w:rsidR="00A66ECA" w:rsidRDefault="00AA017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3456" w:history="1">
        <w:r w:rsidR="00A66ECA" w:rsidRPr="003033C3">
          <w:rPr>
            <w:rStyle w:val="Hyperlink"/>
            <w:rFonts w:cs="Arial"/>
            <w:noProof/>
          </w:rPr>
          <w:t>Proposal 3</w:t>
        </w:r>
        <w:r w:rsidR="00A66ECA">
          <w:rPr>
            <w:rFonts w:asciiTheme="minorHAnsi" w:eastAsiaTheme="minorEastAsia" w:hAnsiTheme="minorHAnsi" w:cstheme="minorBidi"/>
            <w:b w:val="0"/>
            <w:noProof/>
            <w:sz w:val="22"/>
            <w:szCs w:val="22"/>
            <w:lang w:val="sv-SE" w:eastAsia="sv-SE"/>
          </w:rPr>
          <w:tab/>
        </w:r>
        <w:r w:rsidR="00A66ECA" w:rsidRPr="003033C3">
          <w:rPr>
            <w:rStyle w:val="Hyperlink"/>
            <w:noProof/>
          </w:rPr>
          <w:t>RAN2 does not consider UL HbH flow control which was already downpriorized in RAN2#113e.</w:t>
        </w:r>
      </w:hyperlink>
    </w:p>
    <w:p w14:paraId="7BB00706" w14:textId="77777777" w:rsidR="00A66ECA" w:rsidRDefault="00AA017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5743457" w:history="1">
        <w:r w:rsidR="00A66ECA" w:rsidRPr="003033C3">
          <w:rPr>
            <w:rStyle w:val="Hyperlink"/>
            <w:rFonts w:cs="Arial"/>
            <w:noProof/>
            <w:lang w:eastAsia="ja-JP"/>
          </w:rPr>
          <w:t>Proposal 4</w:t>
        </w:r>
        <w:r w:rsidR="00A66ECA">
          <w:rPr>
            <w:rFonts w:asciiTheme="minorHAnsi" w:eastAsiaTheme="minorEastAsia" w:hAnsiTheme="minorHAnsi" w:cstheme="minorBidi"/>
            <w:b w:val="0"/>
            <w:noProof/>
            <w:sz w:val="22"/>
            <w:szCs w:val="22"/>
            <w:lang w:val="sv-SE" w:eastAsia="sv-SE"/>
          </w:rPr>
          <w:tab/>
        </w:r>
        <w:r w:rsidR="00A66ECA" w:rsidRPr="003033C3">
          <w:rPr>
            <w:rStyle w:val="Hyperlink"/>
            <w:rFonts w:cs="Arial"/>
            <w:noProof/>
            <w:lang w:eastAsia="ja-JP"/>
          </w:rPr>
          <w:t>If RAN2 intention is to enable local routing in the upstream, it would be enough to introduce rules on the UL buffer status at the child, e.g. based on implementation. No need for the UL HbH flow control for the sake of UL local routing.</w:t>
        </w:r>
      </w:hyperlink>
    </w:p>
    <w:p w14:paraId="2BEF583F" w14:textId="2B0A6E16" w:rsidR="003A7EF3" w:rsidRDefault="004F0BC9" w:rsidP="007C13EA">
      <w:pPr>
        <w:pStyle w:val="Heading1"/>
        <w:rPr>
          <w:lang w:val="en-US"/>
        </w:rPr>
      </w:pPr>
      <w:r>
        <w:rPr>
          <w:lang w:val="en-US"/>
        </w:rPr>
        <w:fldChar w:fldCharType="end"/>
      </w:r>
      <w:r w:rsidR="007C13EA">
        <w:rPr>
          <w:lang w:val="en-US"/>
        </w:rPr>
        <w:t>4</w:t>
      </w:r>
      <w:r w:rsidR="007C13EA">
        <w:rPr>
          <w:lang w:val="en-US"/>
        </w:rPr>
        <w:tab/>
        <w:t>References</w:t>
      </w:r>
    </w:p>
    <w:bookmarkStart w:id="10" w:name="_Ref84949993"/>
    <w:bookmarkStart w:id="11" w:name="_Ref68022493"/>
    <w:bookmarkStart w:id="12" w:name="_Ref71487438"/>
    <w:p w14:paraId="45784E8E" w14:textId="0C38A838" w:rsidR="00B54562" w:rsidRPr="003B5967" w:rsidRDefault="00B54562" w:rsidP="00F95154">
      <w:pPr>
        <w:pStyle w:val="ListParagraph"/>
        <w:numPr>
          <w:ilvl w:val="0"/>
          <w:numId w:val="36"/>
        </w:numPr>
        <w:overflowPunct/>
        <w:autoSpaceDE/>
        <w:autoSpaceDN/>
        <w:adjustRightInd/>
        <w:spacing w:afterLines="50" w:after="120"/>
        <w:textAlignment w:val="auto"/>
        <w:rPr>
          <w:rFonts w:ascii="Arial" w:eastAsia="Times New Roman" w:hAnsi="Arial"/>
          <w:sz w:val="20"/>
          <w:szCs w:val="20"/>
          <w:lang w:val="it-IT" w:eastAsia="zh-CN"/>
        </w:rPr>
      </w:pPr>
      <w:r w:rsidRPr="00B54562">
        <w:rPr>
          <w:rFonts w:ascii="Arial" w:eastAsia="Times New Roman" w:hAnsi="Arial"/>
          <w:sz w:val="20"/>
          <w:szCs w:val="20"/>
          <w:lang w:val="en-GB" w:eastAsia="zh-CN"/>
        </w:rPr>
        <w:fldChar w:fldCharType="begin"/>
      </w:r>
      <w:r w:rsidRPr="003B5967">
        <w:rPr>
          <w:rFonts w:ascii="Arial" w:eastAsia="Times New Roman" w:hAnsi="Arial"/>
          <w:sz w:val="20"/>
          <w:szCs w:val="20"/>
          <w:lang w:val="it-IT" w:eastAsia="zh-CN"/>
        </w:rPr>
        <w:instrText xml:space="preserve"> HYPERLINK "http://www.3gpp.org/ftp/tsg_ran/TSG_RAN//TSGR_93e/Docs//RP-212560.zip" </w:instrText>
      </w:r>
      <w:r w:rsidRPr="00B54562">
        <w:rPr>
          <w:rFonts w:ascii="Arial" w:eastAsia="Times New Roman" w:hAnsi="Arial"/>
          <w:sz w:val="20"/>
          <w:szCs w:val="20"/>
          <w:lang w:val="en-GB" w:eastAsia="zh-CN"/>
        </w:rPr>
        <w:fldChar w:fldCharType="separate"/>
      </w:r>
      <w:r w:rsidRPr="003B5967">
        <w:rPr>
          <w:rFonts w:ascii="Arial" w:eastAsia="Times New Roman" w:hAnsi="Arial"/>
          <w:sz w:val="20"/>
          <w:szCs w:val="20"/>
          <w:lang w:val="it-IT" w:eastAsia="zh-CN"/>
        </w:rPr>
        <w:t>RP-212560</w:t>
      </w:r>
      <w:r w:rsidRPr="00B54562">
        <w:rPr>
          <w:rFonts w:ascii="Arial" w:eastAsia="Times New Roman" w:hAnsi="Arial"/>
          <w:sz w:val="20"/>
          <w:szCs w:val="20"/>
          <w:lang w:val="en-GB" w:eastAsia="zh-CN"/>
        </w:rPr>
        <w:fldChar w:fldCharType="end"/>
      </w:r>
      <w:r w:rsidRPr="003B5967">
        <w:rPr>
          <w:rFonts w:ascii="Arial" w:eastAsia="Times New Roman" w:hAnsi="Arial"/>
          <w:sz w:val="20"/>
          <w:szCs w:val="20"/>
          <w:lang w:val="it-IT" w:eastAsia="zh-CN"/>
        </w:rPr>
        <w:t>, Email discussion [93e-20-IAB-WI], Qualcomm (Rapporteur)</w:t>
      </w:r>
      <w:bookmarkEnd w:id="10"/>
    </w:p>
    <w:bookmarkStart w:id="13" w:name="_Ref85015966"/>
    <w:p w14:paraId="470C1843" w14:textId="50DCD199" w:rsidR="0047744C" w:rsidRPr="00740A8F" w:rsidRDefault="003933CB" w:rsidP="00740A8F">
      <w:pPr>
        <w:pStyle w:val="ListParagraph"/>
        <w:numPr>
          <w:ilvl w:val="0"/>
          <w:numId w:val="36"/>
        </w:numPr>
        <w:overflowPunct/>
        <w:autoSpaceDE/>
        <w:autoSpaceDN/>
        <w:adjustRightInd/>
        <w:spacing w:afterLines="50" w:after="120"/>
        <w:textAlignment w:val="auto"/>
        <w:rPr>
          <w:lang w:val="en-US"/>
        </w:rPr>
      </w:pPr>
      <w:r w:rsidRPr="003664A3">
        <w:rPr>
          <w:rFonts w:ascii="Arial" w:eastAsia="Times New Roman" w:hAnsi="Arial"/>
          <w:sz w:val="20"/>
          <w:szCs w:val="20"/>
          <w:lang w:val="en-GB" w:eastAsia="zh-CN"/>
        </w:rPr>
        <w:fldChar w:fldCharType="begin"/>
      </w:r>
      <w:r w:rsidRPr="003664A3">
        <w:rPr>
          <w:rFonts w:ascii="Arial" w:eastAsia="Times New Roman" w:hAnsi="Arial"/>
          <w:sz w:val="20"/>
          <w:szCs w:val="20"/>
          <w:lang w:val="en-GB" w:eastAsia="zh-CN"/>
        </w:rPr>
        <w:instrText xml:space="preserve"> HYPERLINK "file:///D:\\Documents\\3GPP\\tsg_ran\\WG2\\TSGR2_115-e\\Docs\\R2-2109032.zip" \o "D:Documents3GPPtsg_ranWG2TSGR2_115-eDocsR2-2109032.zip" </w:instrText>
      </w:r>
      <w:r w:rsidRPr="003664A3">
        <w:rPr>
          <w:rFonts w:ascii="Arial" w:eastAsia="Times New Roman" w:hAnsi="Arial"/>
          <w:sz w:val="20"/>
          <w:szCs w:val="20"/>
          <w:lang w:val="en-GB" w:eastAsia="zh-CN"/>
        </w:rPr>
        <w:fldChar w:fldCharType="separate"/>
      </w:r>
      <w:r w:rsidRPr="003664A3">
        <w:rPr>
          <w:rFonts w:ascii="Arial" w:eastAsia="Times New Roman" w:hAnsi="Arial"/>
          <w:sz w:val="20"/>
          <w:szCs w:val="20"/>
          <w:lang w:val="en-GB" w:eastAsia="zh-CN"/>
        </w:rPr>
        <w:t>R2-2109032</w:t>
      </w:r>
      <w:r w:rsidRPr="003664A3">
        <w:rPr>
          <w:rFonts w:ascii="Arial" w:eastAsia="Times New Roman" w:hAnsi="Arial"/>
          <w:sz w:val="20"/>
          <w:szCs w:val="20"/>
          <w:lang w:val="en-GB" w:eastAsia="zh-CN"/>
        </w:rPr>
        <w:fldChar w:fldCharType="end"/>
      </w:r>
      <w:r w:rsidR="003664A3">
        <w:rPr>
          <w:rFonts w:ascii="Arial" w:eastAsia="Times New Roman" w:hAnsi="Arial"/>
          <w:sz w:val="20"/>
          <w:szCs w:val="20"/>
          <w:lang w:val="en-GB" w:eastAsia="zh-CN"/>
        </w:rPr>
        <w:t xml:space="preserve">, </w:t>
      </w:r>
      <w:r w:rsidRPr="003664A3">
        <w:rPr>
          <w:rFonts w:ascii="Arial" w:eastAsia="Times New Roman" w:hAnsi="Arial"/>
          <w:sz w:val="20"/>
          <w:szCs w:val="20"/>
          <w:lang w:val="en-GB" w:eastAsia="zh-CN"/>
        </w:rPr>
        <w:t>Feature summary of 8.4.2 (Rel-17 IAB contributions on fairness, latency and congestion)</w:t>
      </w:r>
      <w:r w:rsidR="003664A3">
        <w:rPr>
          <w:rFonts w:ascii="Arial" w:eastAsia="Times New Roman" w:hAnsi="Arial"/>
          <w:sz w:val="20"/>
          <w:szCs w:val="20"/>
          <w:lang w:val="en-GB" w:eastAsia="zh-CN"/>
        </w:rPr>
        <w:t xml:space="preserve">, </w:t>
      </w:r>
      <w:r w:rsidRPr="003664A3">
        <w:rPr>
          <w:rFonts w:ascii="Arial" w:eastAsia="Times New Roman" w:hAnsi="Arial"/>
          <w:sz w:val="20"/>
          <w:szCs w:val="20"/>
          <w:lang w:val="en-GB" w:eastAsia="zh-CN"/>
        </w:rPr>
        <w:t>InterDigital</w:t>
      </w:r>
      <w:bookmarkEnd w:id="11"/>
      <w:bookmarkEnd w:id="12"/>
      <w:bookmarkEnd w:id="13"/>
    </w:p>
    <w:sectPr w:rsidR="0047744C" w:rsidRPr="00740A8F"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ED38FB" w14:textId="77777777" w:rsidR="00B82542" w:rsidRDefault="00B82542">
      <w:r>
        <w:separator/>
      </w:r>
    </w:p>
  </w:endnote>
  <w:endnote w:type="continuationSeparator" w:id="0">
    <w:p w14:paraId="34240E38" w14:textId="77777777" w:rsidR="00B82542" w:rsidRDefault="00B82542">
      <w:r>
        <w:continuationSeparator/>
      </w:r>
    </w:p>
  </w:endnote>
  <w:endnote w:type="continuationNotice" w:id="1">
    <w:p w14:paraId="15BEEDA0" w14:textId="77777777" w:rsidR="00B82542" w:rsidRDefault="00B825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CC3C51" w:rsidRDefault="00CC3C5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1F26AA" w14:textId="77777777" w:rsidR="00B82542" w:rsidRDefault="00B82542">
      <w:r>
        <w:separator/>
      </w:r>
    </w:p>
  </w:footnote>
  <w:footnote w:type="continuationSeparator" w:id="0">
    <w:p w14:paraId="5928355C" w14:textId="77777777" w:rsidR="00B82542" w:rsidRDefault="00B82542">
      <w:r>
        <w:continuationSeparator/>
      </w:r>
    </w:p>
  </w:footnote>
  <w:footnote w:type="continuationNotice" w:id="1">
    <w:p w14:paraId="22AB8FE2" w14:textId="77777777" w:rsidR="00B82542" w:rsidRDefault="00B825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CC3C51" w:rsidRDefault="00CC3C5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F9895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4E15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37051A"/>
    <w:multiLevelType w:val="hybridMultilevel"/>
    <w:tmpl w:val="CEAAE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FD2CB2"/>
    <w:multiLevelType w:val="hybridMultilevel"/>
    <w:tmpl w:val="DADA97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5365BE4"/>
    <w:multiLevelType w:val="hybridMultilevel"/>
    <w:tmpl w:val="FAB466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1769AA"/>
    <w:multiLevelType w:val="hybridMultilevel"/>
    <w:tmpl w:val="C812EB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91BAFFEC"/>
    <w:lvl w:ilvl="0" w:tplc="94BEBBC6">
      <w:start w:val="1"/>
      <w:numFmt w:val="decimal"/>
      <w:pStyle w:val="Proposal"/>
      <w:lvlText w:val="Proposal %1"/>
      <w:lvlJc w:val="left"/>
      <w:pPr>
        <w:tabs>
          <w:tab w:val="num" w:pos="1304"/>
        </w:tabs>
        <w:ind w:left="1304" w:hanging="1304"/>
      </w:pPr>
      <w:rPr>
        <w:rFonts w:ascii="Arial" w:hAnsi="Arial" w:cs="Arial" w:hint="default"/>
        <w:b/>
        <w:bCs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2E4DD4"/>
    <w:multiLevelType w:val="hybridMultilevel"/>
    <w:tmpl w:val="26F295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C4E068C2"/>
    <w:lvl w:ilvl="0" w:tplc="5C12A68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F0718D"/>
    <w:multiLevelType w:val="hybridMultilevel"/>
    <w:tmpl w:val="214256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1490340"/>
    <w:multiLevelType w:val="hybridMultilevel"/>
    <w:tmpl w:val="DC58C9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5C17B17"/>
    <w:multiLevelType w:val="hybridMultilevel"/>
    <w:tmpl w:val="2ACE73E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7405364"/>
    <w:multiLevelType w:val="hybridMultilevel"/>
    <w:tmpl w:val="26B6671E"/>
    <w:lvl w:ilvl="0" w:tplc="7D8E4110">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9C4150"/>
    <w:multiLevelType w:val="hybridMultilevel"/>
    <w:tmpl w:val="08E23E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C1B2531"/>
    <w:multiLevelType w:val="hybridMultilevel"/>
    <w:tmpl w:val="2262752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52B3469"/>
    <w:multiLevelType w:val="hybridMultilevel"/>
    <w:tmpl w:val="D70EEF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9051249"/>
    <w:multiLevelType w:val="multilevel"/>
    <w:tmpl w:val="79051249"/>
    <w:lvl w:ilvl="0">
      <w:start w:val="1"/>
      <w:numFmt w:val="decimal"/>
      <w:lvlText w:val="[%1]"/>
      <w:lvlJc w:val="center"/>
      <w:pPr>
        <w:ind w:left="420" w:hanging="420"/>
      </w:pPr>
      <w:rPr>
        <w:rFonts w:ascii="Arial"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D7B19CA"/>
    <w:multiLevelType w:val="hybridMultilevel"/>
    <w:tmpl w:val="C21410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F28694C"/>
    <w:multiLevelType w:val="hybridMultilevel"/>
    <w:tmpl w:val="0596C7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2"/>
  </w:num>
  <w:num w:numId="6">
    <w:abstractNumId w:val="19"/>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5"/>
  </w:num>
  <w:num w:numId="17">
    <w:abstractNumId w:val="9"/>
  </w:num>
  <w:num w:numId="18">
    <w:abstractNumId w:val="10"/>
  </w:num>
  <w:num w:numId="19">
    <w:abstractNumId w:val="6"/>
  </w:num>
  <w:num w:numId="20">
    <w:abstractNumId w:val="33"/>
  </w:num>
  <w:num w:numId="21">
    <w:abstractNumId w:val="14"/>
  </w:num>
  <w:num w:numId="22">
    <w:abstractNumId w:val="31"/>
  </w:num>
  <w:num w:numId="23">
    <w:abstractNumId w:val="7"/>
  </w:num>
  <w:num w:numId="24">
    <w:abstractNumId w:val="26"/>
  </w:num>
  <w:num w:numId="25">
    <w:abstractNumId w:val="8"/>
  </w:num>
  <w:num w:numId="26">
    <w:abstractNumId w:val="30"/>
  </w:num>
  <w:num w:numId="27">
    <w:abstractNumId w:val="5"/>
  </w:num>
  <w:num w:numId="28">
    <w:abstractNumId w:val="28"/>
  </w:num>
  <w:num w:numId="29">
    <w:abstractNumId w:val="17"/>
  </w:num>
  <w:num w:numId="30">
    <w:abstractNumId w:val="29"/>
  </w:num>
  <w:num w:numId="31">
    <w:abstractNumId w:val="27"/>
  </w:num>
  <w:num w:numId="32">
    <w:abstractNumId w:val="36"/>
  </w:num>
  <w:num w:numId="33">
    <w:abstractNumId w:val="34"/>
  </w:num>
  <w:num w:numId="34">
    <w:abstractNumId w:val="32"/>
  </w:num>
  <w:num w:numId="35">
    <w:abstractNumId w:val="23"/>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343"/>
    <w:rsid w:val="000006E1"/>
    <w:rsid w:val="00000ACC"/>
    <w:rsid w:val="00002686"/>
    <w:rsid w:val="000029B2"/>
    <w:rsid w:val="00002A37"/>
    <w:rsid w:val="00002E55"/>
    <w:rsid w:val="0000383C"/>
    <w:rsid w:val="00003C37"/>
    <w:rsid w:val="000048AE"/>
    <w:rsid w:val="000048F7"/>
    <w:rsid w:val="00004F3D"/>
    <w:rsid w:val="0000564C"/>
    <w:rsid w:val="00006446"/>
    <w:rsid w:val="00006896"/>
    <w:rsid w:val="000069B9"/>
    <w:rsid w:val="00006E43"/>
    <w:rsid w:val="00006EB3"/>
    <w:rsid w:val="00007CDC"/>
    <w:rsid w:val="000105CE"/>
    <w:rsid w:val="0001139C"/>
    <w:rsid w:val="00011B28"/>
    <w:rsid w:val="00012600"/>
    <w:rsid w:val="0001367A"/>
    <w:rsid w:val="00013AE2"/>
    <w:rsid w:val="00014A85"/>
    <w:rsid w:val="00015CE4"/>
    <w:rsid w:val="00015D15"/>
    <w:rsid w:val="00016F7F"/>
    <w:rsid w:val="00017D0D"/>
    <w:rsid w:val="00017ED2"/>
    <w:rsid w:val="0002059E"/>
    <w:rsid w:val="00023989"/>
    <w:rsid w:val="0002408D"/>
    <w:rsid w:val="0002461B"/>
    <w:rsid w:val="00024F27"/>
    <w:rsid w:val="00025230"/>
    <w:rsid w:val="0002564D"/>
    <w:rsid w:val="00025709"/>
    <w:rsid w:val="00025ECA"/>
    <w:rsid w:val="0002684B"/>
    <w:rsid w:val="00027C1D"/>
    <w:rsid w:val="00030C72"/>
    <w:rsid w:val="00031BD0"/>
    <w:rsid w:val="000325B8"/>
    <w:rsid w:val="00032609"/>
    <w:rsid w:val="00032BD7"/>
    <w:rsid w:val="00034C15"/>
    <w:rsid w:val="00036BA1"/>
    <w:rsid w:val="000402B7"/>
    <w:rsid w:val="000413C9"/>
    <w:rsid w:val="00041B7D"/>
    <w:rsid w:val="00042275"/>
    <w:rsid w:val="000422E2"/>
    <w:rsid w:val="0004245E"/>
    <w:rsid w:val="0004268E"/>
    <w:rsid w:val="000429D1"/>
    <w:rsid w:val="00042F22"/>
    <w:rsid w:val="000441ED"/>
    <w:rsid w:val="000444EF"/>
    <w:rsid w:val="000453B1"/>
    <w:rsid w:val="00045AB2"/>
    <w:rsid w:val="0004619C"/>
    <w:rsid w:val="00046774"/>
    <w:rsid w:val="00046E62"/>
    <w:rsid w:val="00052A07"/>
    <w:rsid w:val="00052A54"/>
    <w:rsid w:val="00052C20"/>
    <w:rsid w:val="000534E3"/>
    <w:rsid w:val="00053B31"/>
    <w:rsid w:val="00055F02"/>
    <w:rsid w:val="0005606A"/>
    <w:rsid w:val="000568B4"/>
    <w:rsid w:val="00057117"/>
    <w:rsid w:val="00060919"/>
    <w:rsid w:val="000616E7"/>
    <w:rsid w:val="00061875"/>
    <w:rsid w:val="00061AB4"/>
    <w:rsid w:val="000644F3"/>
    <w:rsid w:val="000647D1"/>
    <w:rsid w:val="0006487E"/>
    <w:rsid w:val="00064B71"/>
    <w:rsid w:val="0006530C"/>
    <w:rsid w:val="00065E1A"/>
    <w:rsid w:val="000719EB"/>
    <w:rsid w:val="0007261D"/>
    <w:rsid w:val="00072D49"/>
    <w:rsid w:val="0007363E"/>
    <w:rsid w:val="00073715"/>
    <w:rsid w:val="0007455B"/>
    <w:rsid w:val="000745C4"/>
    <w:rsid w:val="0007485B"/>
    <w:rsid w:val="0007579F"/>
    <w:rsid w:val="000759A6"/>
    <w:rsid w:val="00077835"/>
    <w:rsid w:val="00077E5F"/>
    <w:rsid w:val="0008036A"/>
    <w:rsid w:val="00081AE6"/>
    <w:rsid w:val="000831FD"/>
    <w:rsid w:val="000855EB"/>
    <w:rsid w:val="00085612"/>
    <w:rsid w:val="00085B52"/>
    <w:rsid w:val="00085D30"/>
    <w:rsid w:val="00086570"/>
    <w:rsid w:val="000866F2"/>
    <w:rsid w:val="0009009F"/>
    <w:rsid w:val="00090274"/>
    <w:rsid w:val="00091347"/>
    <w:rsid w:val="00091557"/>
    <w:rsid w:val="000924C1"/>
    <w:rsid w:val="000924F0"/>
    <w:rsid w:val="00093474"/>
    <w:rsid w:val="00093B44"/>
    <w:rsid w:val="00093F0B"/>
    <w:rsid w:val="000941A0"/>
    <w:rsid w:val="000950D3"/>
    <w:rsid w:val="0009510F"/>
    <w:rsid w:val="000958A1"/>
    <w:rsid w:val="000958D4"/>
    <w:rsid w:val="0009690D"/>
    <w:rsid w:val="00097106"/>
    <w:rsid w:val="000972A2"/>
    <w:rsid w:val="0009795B"/>
    <w:rsid w:val="000979BB"/>
    <w:rsid w:val="000A11D4"/>
    <w:rsid w:val="000A1B7B"/>
    <w:rsid w:val="000A4393"/>
    <w:rsid w:val="000A4904"/>
    <w:rsid w:val="000A4CED"/>
    <w:rsid w:val="000A56F2"/>
    <w:rsid w:val="000A68A5"/>
    <w:rsid w:val="000A7DFC"/>
    <w:rsid w:val="000B081C"/>
    <w:rsid w:val="000B08C3"/>
    <w:rsid w:val="000B0C53"/>
    <w:rsid w:val="000B2719"/>
    <w:rsid w:val="000B3A8F"/>
    <w:rsid w:val="000B4592"/>
    <w:rsid w:val="000B475B"/>
    <w:rsid w:val="000B47D3"/>
    <w:rsid w:val="000B4AB9"/>
    <w:rsid w:val="000B4EB6"/>
    <w:rsid w:val="000B58C3"/>
    <w:rsid w:val="000B5C6E"/>
    <w:rsid w:val="000B6192"/>
    <w:rsid w:val="000B61E9"/>
    <w:rsid w:val="000B6BB5"/>
    <w:rsid w:val="000B78E0"/>
    <w:rsid w:val="000C08AD"/>
    <w:rsid w:val="000C165A"/>
    <w:rsid w:val="000C1A65"/>
    <w:rsid w:val="000C2E19"/>
    <w:rsid w:val="000C3794"/>
    <w:rsid w:val="000C37B7"/>
    <w:rsid w:val="000C614E"/>
    <w:rsid w:val="000C6382"/>
    <w:rsid w:val="000C6683"/>
    <w:rsid w:val="000C70EA"/>
    <w:rsid w:val="000C75EB"/>
    <w:rsid w:val="000C7FE4"/>
    <w:rsid w:val="000D014C"/>
    <w:rsid w:val="000D0A3C"/>
    <w:rsid w:val="000D0D07"/>
    <w:rsid w:val="000D1DA1"/>
    <w:rsid w:val="000D2D89"/>
    <w:rsid w:val="000D4539"/>
    <w:rsid w:val="000D4797"/>
    <w:rsid w:val="000D4E6C"/>
    <w:rsid w:val="000D5889"/>
    <w:rsid w:val="000D6082"/>
    <w:rsid w:val="000D610A"/>
    <w:rsid w:val="000D6451"/>
    <w:rsid w:val="000D7060"/>
    <w:rsid w:val="000D727C"/>
    <w:rsid w:val="000D74E1"/>
    <w:rsid w:val="000D7FAB"/>
    <w:rsid w:val="000E0527"/>
    <w:rsid w:val="000E14FE"/>
    <w:rsid w:val="000E1729"/>
    <w:rsid w:val="000E17C8"/>
    <w:rsid w:val="000E1BDB"/>
    <w:rsid w:val="000E1D20"/>
    <w:rsid w:val="000E1E92"/>
    <w:rsid w:val="000E2A4E"/>
    <w:rsid w:val="000E2E0F"/>
    <w:rsid w:val="000E6906"/>
    <w:rsid w:val="000E6B65"/>
    <w:rsid w:val="000E70B3"/>
    <w:rsid w:val="000F00FE"/>
    <w:rsid w:val="000F06D6"/>
    <w:rsid w:val="000F0EB1"/>
    <w:rsid w:val="000F1106"/>
    <w:rsid w:val="000F15E1"/>
    <w:rsid w:val="000F1E27"/>
    <w:rsid w:val="000F1FDA"/>
    <w:rsid w:val="000F2C11"/>
    <w:rsid w:val="000F2C26"/>
    <w:rsid w:val="000F2D35"/>
    <w:rsid w:val="000F3BE9"/>
    <w:rsid w:val="000F3F6C"/>
    <w:rsid w:val="000F551B"/>
    <w:rsid w:val="000F5CD0"/>
    <w:rsid w:val="000F6883"/>
    <w:rsid w:val="000F6D0D"/>
    <w:rsid w:val="000F6DF3"/>
    <w:rsid w:val="00100370"/>
    <w:rsid w:val="001005FF"/>
    <w:rsid w:val="00101DD8"/>
    <w:rsid w:val="0010211D"/>
    <w:rsid w:val="00104B3C"/>
    <w:rsid w:val="00104E78"/>
    <w:rsid w:val="001053F5"/>
    <w:rsid w:val="0010568C"/>
    <w:rsid w:val="001062FB"/>
    <w:rsid w:val="001063E6"/>
    <w:rsid w:val="0011012F"/>
    <w:rsid w:val="0011118F"/>
    <w:rsid w:val="001112F1"/>
    <w:rsid w:val="00111F35"/>
    <w:rsid w:val="00113CF4"/>
    <w:rsid w:val="00113D07"/>
    <w:rsid w:val="00114147"/>
    <w:rsid w:val="001153EA"/>
    <w:rsid w:val="00115643"/>
    <w:rsid w:val="00116765"/>
    <w:rsid w:val="00117C47"/>
    <w:rsid w:val="001205E6"/>
    <w:rsid w:val="00120607"/>
    <w:rsid w:val="00120F55"/>
    <w:rsid w:val="0012141A"/>
    <w:rsid w:val="001219F5"/>
    <w:rsid w:val="00121A20"/>
    <w:rsid w:val="0012211F"/>
    <w:rsid w:val="00122338"/>
    <w:rsid w:val="00122AF7"/>
    <w:rsid w:val="00123698"/>
    <w:rsid w:val="0012377F"/>
    <w:rsid w:val="00123E17"/>
    <w:rsid w:val="00124314"/>
    <w:rsid w:val="00124AAD"/>
    <w:rsid w:val="00124D5D"/>
    <w:rsid w:val="00125895"/>
    <w:rsid w:val="00126586"/>
    <w:rsid w:val="00126B4A"/>
    <w:rsid w:val="00127692"/>
    <w:rsid w:val="00130617"/>
    <w:rsid w:val="001308BF"/>
    <w:rsid w:val="00130B48"/>
    <w:rsid w:val="001312C9"/>
    <w:rsid w:val="00132FD0"/>
    <w:rsid w:val="00134155"/>
    <w:rsid w:val="001344C0"/>
    <w:rsid w:val="001346FA"/>
    <w:rsid w:val="00134907"/>
    <w:rsid w:val="00135252"/>
    <w:rsid w:val="00137AB5"/>
    <w:rsid w:val="00137F0B"/>
    <w:rsid w:val="00142038"/>
    <w:rsid w:val="00142B48"/>
    <w:rsid w:val="0014362F"/>
    <w:rsid w:val="00143AC1"/>
    <w:rsid w:val="001441ED"/>
    <w:rsid w:val="001443F1"/>
    <w:rsid w:val="00144D3B"/>
    <w:rsid w:val="0014581F"/>
    <w:rsid w:val="00146906"/>
    <w:rsid w:val="001504D0"/>
    <w:rsid w:val="001511A6"/>
    <w:rsid w:val="001516A6"/>
    <w:rsid w:val="00151E23"/>
    <w:rsid w:val="001526E0"/>
    <w:rsid w:val="001540C4"/>
    <w:rsid w:val="001551B5"/>
    <w:rsid w:val="0015637E"/>
    <w:rsid w:val="001564F3"/>
    <w:rsid w:val="00156A8E"/>
    <w:rsid w:val="0015793B"/>
    <w:rsid w:val="00157BB3"/>
    <w:rsid w:val="00160958"/>
    <w:rsid w:val="001616B7"/>
    <w:rsid w:val="00161F94"/>
    <w:rsid w:val="0016281C"/>
    <w:rsid w:val="001628E8"/>
    <w:rsid w:val="001635D1"/>
    <w:rsid w:val="00164B46"/>
    <w:rsid w:val="00164BA3"/>
    <w:rsid w:val="001659C1"/>
    <w:rsid w:val="0016625F"/>
    <w:rsid w:val="00167035"/>
    <w:rsid w:val="00167C15"/>
    <w:rsid w:val="00167D2D"/>
    <w:rsid w:val="0017205D"/>
    <w:rsid w:val="0017228A"/>
    <w:rsid w:val="00173A8E"/>
    <w:rsid w:val="00174853"/>
    <w:rsid w:val="0017488F"/>
    <w:rsid w:val="0017502C"/>
    <w:rsid w:val="0017512D"/>
    <w:rsid w:val="00175510"/>
    <w:rsid w:val="00176467"/>
    <w:rsid w:val="00180215"/>
    <w:rsid w:val="0018112B"/>
    <w:rsid w:val="001812A0"/>
    <w:rsid w:val="0018143F"/>
    <w:rsid w:val="00181FF8"/>
    <w:rsid w:val="00183C78"/>
    <w:rsid w:val="001853F4"/>
    <w:rsid w:val="00185D15"/>
    <w:rsid w:val="0018614B"/>
    <w:rsid w:val="0018640A"/>
    <w:rsid w:val="0018671D"/>
    <w:rsid w:val="00187E66"/>
    <w:rsid w:val="001900B4"/>
    <w:rsid w:val="001901FC"/>
    <w:rsid w:val="00190AC1"/>
    <w:rsid w:val="00190F2B"/>
    <w:rsid w:val="0019120A"/>
    <w:rsid w:val="00192B74"/>
    <w:rsid w:val="00192BA3"/>
    <w:rsid w:val="0019341A"/>
    <w:rsid w:val="00193A1F"/>
    <w:rsid w:val="00195550"/>
    <w:rsid w:val="00195C72"/>
    <w:rsid w:val="0019636C"/>
    <w:rsid w:val="001970C5"/>
    <w:rsid w:val="001976AC"/>
    <w:rsid w:val="00197DF9"/>
    <w:rsid w:val="001A024D"/>
    <w:rsid w:val="001A1573"/>
    <w:rsid w:val="001A1987"/>
    <w:rsid w:val="001A21A4"/>
    <w:rsid w:val="001A242C"/>
    <w:rsid w:val="001A2564"/>
    <w:rsid w:val="001A3F7D"/>
    <w:rsid w:val="001A461D"/>
    <w:rsid w:val="001A4D05"/>
    <w:rsid w:val="001A6173"/>
    <w:rsid w:val="001A6B3A"/>
    <w:rsid w:val="001A6CBA"/>
    <w:rsid w:val="001A79CE"/>
    <w:rsid w:val="001B0D97"/>
    <w:rsid w:val="001B0EF8"/>
    <w:rsid w:val="001B2CBE"/>
    <w:rsid w:val="001B4A83"/>
    <w:rsid w:val="001B5417"/>
    <w:rsid w:val="001B5A5D"/>
    <w:rsid w:val="001B7343"/>
    <w:rsid w:val="001B7D4F"/>
    <w:rsid w:val="001C01F8"/>
    <w:rsid w:val="001C0858"/>
    <w:rsid w:val="001C0A4A"/>
    <w:rsid w:val="001C19EA"/>
    <w:rsid w:val="001C1CE5"/>
    <w:rsid w:val="001C2B65"/>
    <w:rsid w:val="001C3D2A"/>
    <w:rsid w:val="001C46F3"/>
    <w:rsid w:val="001C616E"/>
    <w:rsid w:val="001C6A45"/>
    <w:rsid w:val="001C7710"/>
    <w:rsid w:val="001C781D"/>
    <w:rsid w:val="001C7C30"/>
    <w:rsid w:val="001D0083"/>
    <w:rsid w:val="001D1B46"/>
    <w:rsid w:val="001D1FF3"/>
    <w:rsid w:val="001D23AE"/>
    <w:rsid w:val="001D346E"/>
    <w:rsid w:val="001D4C1B"/>
    <w:rsid w:val="001D51BA"/>
    <w:rsid w:val="001D53E7"/>
    <w:rsid w:val="001D54A8"/>
    <w:rsid w:val="001D6342"/>
    <w:rsid w:val="001D645C"/>
    <w:rsid w:val="001D67FE"/>
    <w:rsid w:val="001D6D53"/>
    <w:rsid w:val="001D73E6"/>
    <w:rsid w:val="001D74D3"/>
    <w:rsid w:val="001E3346"/>
    <w:rsid w:val="001E3429"/>
    <w:rsid w:val="001E3B4F"/>
    <w:rsid w:val="001E49C5"/>
    <w:rsid w:val="001E53EB"/>
    <w:rsid w:val="001E58E2"/>
    <w:rsid w:val="001E62A0"/>
    <w:rsid w:val="001E76CC"/>
    <w:rsid w:val="001E7AED"/>
    <w:rsid w:val="001E7C93"/>
    <w:rsid w:val="001F0E51"/>
    <w:rsid w:val="001F3916"/>
    <w:rsid w:val="001F4235"/>
    <w:rsid w:val="001F4D10"/>
    <w:rsid w:val="001F54C5"/>
    <w:rsid w:val="001F662C"/>
    <w:rsid w:val="001F66EE"/>
    <w:rsid w:val="001F7074"/>
    <w:rsid w:val="001F752F"/>
    <w:rsid w:val="001F7D12"/>
    <w:rsid w:val="00200490"/>
    <w:rsid w:val="00201F3A"/>
    <w:rsid w:val="0020213B"/>
    <w:rsid w:val="00203F96"/>
    <w:rsid w:val="002040FE"/>
    <w:rsid w:val="00204239"/>
    <w:rsid w:val="0020476C"/>
    <w:rsid w:val="00205A7C"/>
    <w:rsid w:val="00205CB1"/>
    <w:rsid w:val="0020638D"/>
    <w:rsid w:val="0020641D"/>
    <w:rsid w:val="002069B2"/>
    <w:rsid w:val="00206A5F"/>
    <w:rsid w:val="0020742F"/>
    <w:rsid w:val="00207FA3"/>
    <w:rsid w:val="002119CF"/>
    <w:rsid w:val="00212200"/>
    <w:rsid w:val="00214DA8"/>
    <w:rsid w:val="00214DD6"/>
    <w:rsid w:val="00214FA4"/>
    <w:rsid w:val="00215305"/>
    <w:rsid w:val="00215423"/>
    <w:rsid w:val="002158FA"/>
    <w:rsid w:val="00215FA7"/>
    <w:rsid w:val="00220600"/>
    <w:rsid w:val="00221961"/>
    <w:rsid w:val="00221A8C"/>
    <w:rsid w:val="002224DB"/>
    <w:rsid w:val="00222BB8"/>
    <w:rsid w:val="002237ED"/>
    <w:rsid w:val="00223AD2"/>
    <w:rsid w:val="00223B1B"/>
    <w:rsid w:val="00223FCB"/>
    <w:rsid w:val="00225298"/>
    <w:rsid w:val="002252C3"/>
    <w:rsid w:val="00225C54"/>
    <w:rsid w:val="00226117"/>
    <w:rsid w:val="00226461"/>
    <w:rsid w:val="00226A3C"/>
    <w:rsid w:val="00226DF4"/>
    <w:rsid w:val="00230765"/>
    <w:rsid w:val="00230D18"/>
    <w:rsid w:val="002319E4"/>
    <w:rsid w:val="00232838"/>
    <w:rsid w:val="00232B83"/>
    <w:rsid w:val="002336E2"/>
    <w:rsid w:val="002346EA"/>
    <w:rsid w:val="00235632"/>
    <w:rsid w:val="00235818"/>
    <w:rsid w:val="00235872"/>
    <w:rsid w:val="00240ACA"/>
    <w:rsid w:val="00240C66"/>
    <w:rsid w:val="00241400"/>
    <w:rsid w:val="00241477"/>
    <w:rsid w:val="00241559"/>
    <w:rsid w:val="002419BA"/>
    <w:rsid w:val="0024282E"/>
    <w:rsid w:val="002435B3"/>
    <w:rsid w:val="00244E04"/>
    <w:rsid w:val="002458EB"/>
    <w:rsid w:val="00245977"/>
    <w:rsid w:val="002500C8"/>
    <w:rsid w:val="00250AD5"/>
    <w:rsid w:val="00250C14"/>
    <w:rsid w:val="00251CFD"/>
    <w:rsid w:val="002522E3"/>
    <w:rsid w:val="00252B22"/>
    <w:rsid w:val="00254238"/>
    <w:rsid w:val="00254395"/>
    <w:rsid w:val="00254BA7"/>
    <w:rsid w:val="002570BF"/>
    <w:rsid w:val="00257543"/>
    <w:rsid w:val="00257C77"/>
    <w:rsid w:val="00260116"/>
    <w:rsid w:val="00260669"/>
    <w:rsid w:val="0026071F"/>
    <w:rsid w:val="00261649"/>
    <w:rsid w:val="002617E7"/>
    <w:rsid w:val="00261E97"/>
    <w:rsid w:val="0026241C"/>
    <w:rsid w:val="00262D78"/>
    <w:rsid w:val="00264228"/>
    <w:rsid w:val="00264334"/>
    <w:rsid w:val="0026473E"/>
    <w:rsid w:val="00266214"/>
    <w:rsid w:val="00267A58"/>
    <w:rsid w:val="00267C83"/>
    <w:rsid w:val="00267D93"/>
    <w:rsid w:val="00270FD2"/>
    <w:rsid w:val="0027144F"/>
    <w:rsid w:val="00271813"/>
    <w:rsid w:val="00271F3A"/>
    <w:rsid w:val="00273278"/>
    <w:rsid w:val="002733EC"/>
    <w:rsid w:val="002734AD"/>
    <w:rsid w:val="002737F4"/>
    <w:rsid w:val="002744EC"/>
    <w:rsid w:val="00274DD9"/>
    <w:rsid w:val="00274F9A"/>
    <w:rsid w:val="0027770D"/>
    <w:rsid w:val="00277AA8"/>
    <w:rsid w:val="002805F5"/>
    <w:rsid w:val="00280751"/>
    <w:rsid w:val="00281D27"/>
    <w:rsid w:val="00282377"/>
    <w:rsid w:val="002823FE"/>
    <w:rsid w:val="0028280A"/>
    <w:rsid w:val="0028357F"/>
    <w:rsid w:val="00283E91"/>
    <w:rsid w:val="00284357"/>
    <w:rsid w:val="00286ACD"/>
    <w:rsid w:val="00287838"/>
    <w:rsid w:val="00290373"/>
    <w:rsid w:val="002907B5"/>
    <w:rsid w:val="00290B11"/>
    <w:rsid w:val="00291953"/>
    <w:rsid w:val="00292E90"/>
    <w:rsid w:val="00292EB7"/>
    <w:rsid w:val="00292F5C"/>
    <w:rsid w:val="002935DD"/>
    <w:rsid w:val="002937AD"/>
    <w:rsid w:val="002949F0"/>
    <w:rsid w:val="002950C3"/>
    <w:rsid w:val="002956D9"/>
    <w:rsid w:val="00295CF0"/>
    <w:rsid w:val="00296227"/>
    <w:rsid w:val="00296E16"/>
    <w:rsid w:val="00296F44"/>
    <w:rsid w:val="00297620"/>
    <w:rsid w:val="0029777D"/>
    <w:rsid w:val="00297C02"/>
    <w:rsid w:val="002A0143"/>
    <w:rsid w:val="002A055E"/>
    <w:rsid w:val="002A06C5"/>
    <w:rsid w:val="002A1D4E"/>
    <w:rsid w:val="002A2869"/>
    <w:rsid w:val="002A30EB"/>
    <w:rsid w:val="002A4DDF"/>
    <w:rsid w:val="002A5BD1"/>
    <w:rsid w:val="002A605A"/>
    <w:rsid w:val="002A6E25"/>
    <w:rsid w:val="002A7C85"/>
    <w:rsid w:val="002B23E5"/>
    <w:rsid w:val="002B24D6"/>
    <w:rsid w:val="002B264D"/>
    <w:rsid w:val="002B268E"/>
    <w:rsid w:val="002B2E85"/>
    <w:rsid w:val="002B3CBF"/>
    <w:rsid w:val="002B4E6F"/>
    <w:rsid w:val="002B4E8B"/>
    <w:rsid w:val="002B54CF"/>
    <w:rsid w:val="002B6491"/>
    <w:rsid w:val="002B6F85"/>
    <w:rsid w:val="002C0810"/>
    <w:rsid w:val="002C08F2"/>
    <w:rsid w:val="002C1178"/>
    <w:rsid w:val="002C1F39"/>
    <w:rsid w:val="002C24ED"/>
    <w:rsid w:val="002C29BD"/>
    <w:rsid w:val="002C29F2"/>
    <w:rsid w:val="002C3C69"/>
    <w:rsid w:val="002C41E6"/>
    <w:rsid w:val="002C46DF"/>
    <w:rsid w:val="002C4768"/>
    <w:rsid w:val="002C54F0"/>
    <w:rsid w:val="002C6BC5"/>
    <w:rsid w:val="002C7EA5"/>
    <w:rsid w:val="002D071A"/>
    <w:rsid w:val="002D24F6"/>
    <w:rsid w:val="002D2568"/>
    <w:rsid w:val="002D29EB"/>
    <w:rsid w:val="002D2AAE"/>
    <w:rsid w:val="002D34B2"/>
    <w:rsid w:val="002D48B0"/>
    <w:rsid w:val="002D4AE7"/>
    <w:rsid w:val="002D57D0"/>
    <w:rsid w:val="002D5B37"/>
    <w:rsid w:val="002D6E1A"/>
    <w:rsid w:val="002D7086"/>
    <w:rsid w:val="002D7637"/>
    <w:rsid w:val="002E17F2"/>
    <w:rsid w:val="002E2917"/>
    <w:rsid w:val="002E2A0F"/>
    <w:rsid w:val="002E438F"/>
    <w:rsid w:val="002E4D4C"/>
    <w:rsid w:val="002E50B3"/>
    <w:rsid w:val="002E5569"/>
    <w:rsid w:val="002E5A62"/>
    <w:rsid w:val="002E66CB"/>
    <w:rsid w:val="002E7225"/>
    <w:rsid w:val="002E7696"/>
    <w:rsid w:val="002E7B4A"/>
    <w:rsid w:val="002E7CAE"/>
    <w:rsid w:val="002F1394"/>
    <w:rsid w:val="002F1F5E"/>
    <w:rsid w:val="002F243D"/>
    <w:rsid w:val="002F2771"/>
    <w:rsid w:val="002F315C"/>
    <w:rsid w:val="002F35BC"/>
    <w:rsid w:val="002F37A9"/>
    <w:rsid w:val="002F4D65"/>
    <w:rsid w:val="002F6FA5"/>
    <w:rsid w:val="002F7C27"/>
    <w:rsid w:val="003004BC"/>
    <w:rsid w:val="0030182E"/>
    <w:rsid w:val="00301CE6"/>
    <w:rsid w:val="00302221"/>
    <w:rsid w:val="0030256B"/>
    <w:rsid w:val="003035C9"/>
    <w:rsid w:val="00303E73"/>
    <w:rsid w:val="0030501F"/>
    <w:rsid w:val="003061AE"/>
    <w:rsid w:val="00307623"/>
    <w:rsid w:val="00307BA1"/>
    <w:rsid w:val="00311702"/>
    <w:rsid w:val="00311C86"/>
    <w:rsid w:val="00311E82"/>
    <w:rsid w:val="00311EC1"/>
    <w:rsid w:val="00312D44"/>
    <w:rsid w:val="00313A43"/>
    <w:rsid w:val="00313BD1"/>
    <w:rsid w:val="00313FD6"/>
    <w:rsid w:val="003143BD"/>
    <w:rsid w:val="003147CE"/>
    <w:rsid w:val="00315363"/>
    <w:rsid w:val="00316CB1"/>
    <w:rsid w:val="00317E38"/>
    <w:rsid w:val="003203ED"/>
    <w:rsid w:val="00320A68"/>
    <w:rsid w:val="00321576"/>
    <w:rsid w:val="00322C9F"/>
    <w:rsid w:val="00324359"/>
    <w:rsid w:val="00324D23"/>
    <w:rsid w:val="00325705"/>
    <w:rsid w:val="00325C38"/>
    <w:rsid w:val="00331691"/>
    <w:rsid w:val="00331751"/>
    <w:rsid w:val="00334579"/>
    <w:rsid w:val="00335858"/>
    <w:rsid w:val="00336BDA"/>
    <w:rsid w:val="00340187"/>
    <w:rsid w:val="00340755"/>
    <w:rsid w:val="00340AD6"/>
    <w:rsid w:val="00341365"/>
    <w:rsid w:val="00342BD7"/>
    <w:rsid w:val="00342E24"/>
    <w:rsid w:val="00343447"/>
    <w:rsid w:val="00344394"/>
    <w:rsid w:val="00344749"/>
    <w:rsid w:val="00344788"/>
    <w:rsid w:val="00345106"/>
    <w:rsid w:val="003465D8"/>
    <w:rsid w:val="003469BC"/>
    <w:rsid w:val="00346DB5"/>
    <w:rsid w:val="003477B1"/>
    <w:rsid w:val="003509D1"/>
    <w:rsid w:val="00350DDD"/>
    <w:rsid w:val="003525FA"/>
    <w:rsid w:val="00352E54"/>
    <w:rsid w:val="00353BB6"/>
    <w:rsid w:val="0035620F"/>
    <w:rsid w:val="00357380"/>
    <w:rsid w:val="003578B9"/>
    <w:rsid w:val="003602D9"/>
    <w:rsid w:val="003604CE"/>
    <w:rsid w:val="00360A83"/>
    <w:rsid w:val="00360C68"/>
    <w:rsid w:val="00361099"/>
    <w:rsid w:val="00362C88"/>
    <w:rsid w:val="003636D7"/>
    <w:rsid w:val="00364579"/>
    <w:rsid w:val="00365EC4"/>
    <w:rsid w:val="00365FFC"/>
    <w:rsid w:val="00366246"/>
    <w:rsid w:val="003664A3"/>
    <w:rsid w:val="003705C3"/>
    <w:rsid w:val="00370E47"/>
    <w:rsid w:val="00371000"/>
    <w:rsid w:val="00372267"/>
    <w:rsid w:val="003742AC"/>
    <w:rsid w:val="003749C6"/>
    <w:rsid w:val="0037504C"/>
    <w:rsid w:val="00375314"/>
    <w:rsid w:val="00376044"/>
    <w:rsid w:val="0037677A"/>
    <w:rsid w:val="00377CE1"/>
    <w:rsid w:val="00380374"/>
    <w:rsid w:val="003819C6"/>
    <w:rsid w:val="00382A33"/>
    <w:rsid w:val="00382D47"/>
    <w:rsid w:val="00382F62"/>
    <w:rsid w:val="00383506"/>
    <w:rsid w:val="003838D9"/>
    <w:rsid w:val="003847E9"/>
    <w:rsid w:val="003849A0"/>
    <w:rsid w:val="00385BF0"/>
    <w:rsid w:val="00385D8C"/>
    <w:rsid w:val="003870D6"/>
    <w:rsid w:val="0039076A"/>
    <w:rsid w:val="0039093C"/>
    <w:rsid w:val="003913D4"/>
    <w:rsid w:val="00391579"/>
    <w:rsid w:val="00391728"/>
    <w:rsid w:val="0039200D"/>
    <w:rsid w:val="0039210A"/>
    <w:rsid w:val="003933CB"/>
    <w:rsid w:val="0039355B"/>
    <w:rsid w:val="003939FF"/>
    <w:rsid w:val="00393E7A"/>
    <w:rsid w:val="00396475"/>
    <w:rsid w:val="00396B30"/>
    <w:rsid w:val="00396B57"/>
    <w:rsid w:val="00396E93"/>
    <w:rsid w:val="0039752F"/>
    <w:rsid w:val="003977B3"/>
    <w:rsid w:val="003978E1"/>
    <w:rsid w:val="00397DF0"/>
    <w:rsid w:val="00397E37"/>
    <w:rsid w:val="003A01C5"/>
    <w:rsid w:val="003A0DC3"/>
    <w:rsid w:val="003A2223"/>
    <w:rsid w:val="003A235F"/>
    <w:rsid w:val="003A2A0F"/>
    <w:rsid w:val="003A37C9"/>
    <w:rsid w:val="003A45A1"/>
    <w:rsid w:val="003A4CB0"/>
    <w:rsid w:val="003A5B0A"/>
    <w:rsid w:val="003A6BAC"/>
    <w:rsid w:val="003A70A4"/>
    <w:rsid w:val="003A79B6"/>
    <w:rsid w:val="003A7EF3"/>
    <w:rsid w:val="003B056E"/>
    <w:rsid w:val="003B07A7"/>
    <w:rsid w:val="003B159C"/>
    <w:rsid w:val="003B1D45"/>
    <w:rsid w:val="003B369F"/>
    <w:rsid w:val="003B36A3"/>
    <w:rsid w:val="003B36E8"/>
    <w:rsid w:val="003B5517"/>
    <w:rsid w:val="003B58CF"/>
    <w:rsid w:val="003B5967"/>
    <w:rsid w:val="003B5C4B"/>
    <w:rsid w:val="003B5CF9"/>
    <w:rsid w:val="003B60FA"/>
    <w:rsid w:val="003B64BB"/>
    <w:rsid w:val="003B7FE5"/>
    <w:rsid w:val="003C11C8"/>
    <w:rsid w:val="003C24A2"/>
    <w:rsid w:val="003C24D9"/>
    <w:rsid w:val="003C2702"/>
    <w:rsid w:val="003C3741"/>
    <w:rsid w:val="003C3DD3"/>
    <w:rsid w:val="003C4070"/>
    <w:rsid w:val="003C49CC"/>
    <w:rsid w:val="003C4DCB"/>
    <w:rsid w:val="003C5145"/>
    <w:rsid w:val="003C6C80"/>
    <w:rsid w:val="003C7806"/>
    <w:rsid w:val="003D109C"/>
    <w:rsid w:val="003D109F"/>
    <w:rsid w:val="003D139A"/>
    <w:rsid w:val="003D2478"/>
    <w:rsid w:val="003D26DB"/>
    <w:rsid w:val="003D2E73"/>
    <w:rsid w:val="003D2F9F"/>
    <w:rsid w:val="003D3C45"/>
    <w:rsid w:val="003D4CF6"/>
    <w:rsid w:val="003D55A4"/>
    <w:rsid w:val="003D5B1F"/>
    <w:rsid w:val="003D624C"/>
    <w:rsid w:val="003D75EC"/>
    <w:rsid w:val="003D7DD5"/>
    <w:rsid w:val="003E0E06"/>
    <w:rsid w:val="003E15FA"/>
    <w:rsid w:val="003E3471"/>
    <w:rsid w:val="003E3BBA"/>
    <w:rsid w:val="003E3D90"/>
    <w:rsid w:val="003E466F"/>
    <w:rsid w:val="003E55E4"/>
    <w:rsid w:val="003E576C"/>
    <w:rsid w:val="003E74E3"/>
    <w:rsid w:val="003E7DAF"/>
    <w:rsid w:val="003F010F"/>
    <w:rsid w:val="003F0409"/>
    <w:rsid w:val="003F05C7"/>
    <w:rsid w:val="003F0714"/>
    <w:rsid w:val="003F07C1"/>
    <w:rsid w:val="003F0BB9"/>
    <w:rsid w:val="003F1222"/>
    <w:rsid w:val="003F19A7"/>
    <w:rsid w:val="003F1A30"/>
    <w:rsid w:val="003F1A94"/>
    <w:rsid w:val="003F1E27"/>
    <w:rsid w:val="003F2CD4"/>
    <w:rsid w:val="003F3330"/>
    <w:rsid w:val="003F39BC"/>
    <w:rsid w:val="003F4D14"/>
    <w:rsid w:val="003F6BBE"/>
    <w:rsid w:val="003F755D"/>
    <w:rsid w:val="003F783D"/>
    <w:rsid w:val="004000E8"/>
    <w:rsid w:val="00401ABE"/>
    <w:rsid w:val="00402315"/>
    <w:rsid w:val="004024D1"/>
    <w:rsid w:val="00402E2B"/>
    <w:rsid w:val="004030A7"/>
    <w:rsid w:val="00403D57"/>
    <w:rsid w:val="00404405"/>
    <w:rsid w:val="00404F2C"/>
    <w:rsid w:val="0040512B"/>
    <w:rsid w:val="004051ED"/>
    <w:rsid w:val="00405B23"/>
    <w:rsid w:val="00405CA5"/>
    <w:rsid w:val="0040637D"/>
    <w:rsid w:val="00406D73"/>
    <w:rsid w:val="00407AB6"/>
    <w:rsid w:val="00407ADB"/>
    <w:rsid w:val="00407CD3"/>
    <w:rsid w:val="00410134"/>
    <w:rsid w:val="004103A0"/>
    <w:rsid w:val="00410B72"/>
    <w:rsid w:val="00410F18"/>
    <w:rsid w:val="00411B20"/>
    <w:rsid w:val="0041263E"/>
    <w:rsid w:val="00413642"/>
    <w:rsid w:val="00413AAC"/>
    <w:rsid w:val="00413E92"/>
    <w:rsid w:val="00414468"/>
    <w:rsid w:val="0041548E"/>
    <w:rsid w:val="00416828"/>
    <w:rsid w:val="00417228"/>
    <w:rsid w:val="0042008D"/>
    <w:rsid w:val="00420342"/>
    <w:rsid w:val="00420E40"/>
    <w:rsid w:val="00421105"/>
    <w:rsid w:val="00422AA4"/>
    <w:rsid w:val="004237A7"/>
    <w:rsid w:val="00423E88"/>
    <w:rsid w:val="004242F4"/>
    <w:rsid w:val="0042650E"/>
    <w:rsid w:val="0042679A"/>
    <w:rsid w:val="004267B9"/>
    <w:rsid w:val="00426FFB"/>
    <w:rsid w:val="00427248"/>
    <w:rsid w:val="00427EC5"/>
    <w:rsid w:val="004309AA"/>
    <w:rsid w:val="00430D31"/>
    <w:rsid w:val="004311C5"/>
    <w:rsid w:val="004313A0"/>
    <w:rsid w:val="00431BBE"/>
    <w:rsid w:val="00432526"/>
    <w:rsid w:val="00432564"/>
    <w:rsid w:val="00432897"/>
    <w:rsid w:val="004331F6"/>
    <w:rsid w:val="00433502"/>
    <w:rsid w:val="00435D29"/>
    <w:rsid w:val="0043628B"/>
    <w:rsid w:val="00437447"/>
    <w:rsid w:val="004374A9"/>
    <w:rsid w:val="00437BFD"/>
    <w:rsid w:val="0044025C"/>
    <w:rsid w:val="00441A92"/>
    <w:rsid w:val="00442A17"/>
    <w:rsid w:val="004431DC"/>
    <w:rsid w:val="004433DA"/>
    <w:rsid w:val="0044459C"/>
    <w:rsid w:val="00444F56"/>
    <w:rsid w:val="00445E90"/>
    <w:rsid w:val="00446488"/>
    <w:rsid w:val="00447985"/>
    <w:rsid w:val="00451252"/>
    <w:rsid w:val="0045145C"/>
    <w:rsid w:val="004517AA"/>
    <w:rsid w:val="0045206D"/>
    <w:rsid w:val="00452CAC"/>
    <w:rsid w:val="004534A5"/>
    <w:rsid w:val="00454C3D"/>
    <w:rsid w:val="00455988"/>
    <w:rsid w:val="00456490"/>
    <w:rsid w:val="0045690B"/>
    <w:rsid w:val="00456F06"/>
    <w:rsid w:val="00457565"/>
    <w:rsid w:val="00457AE3"/>
    <w:rsid w:val="00457B71"/>
    <w:rsid w:val="00457D7A"/>
    <w:rsid w:val="00460BEC"/>
    <w:rsid w:val="004614F5"/>
    <w:rsid w:val="004620C5"/>
    <w:rsid w:val="00462D3C"/>
    <w:rsid w:val="0046467C"/>
    <w:rsid w:val="00465781"/>
    <w:rsid w:val="00465F5D"/>
    <w:rsid w:val="004666E3"/>
    <w:rsid w:val="004669E2"/>
    <w:rsid w:val="00467789"/>
    <w:rsid w:val="00470512"/>
    <w:rsid w:val="004705FF"/>
    <w:rsid w:val="004709EF"/>
    <w:rsid w:val="00470C31"/>
    <w:rsid w:val="0047146A"/>
    <w:rsid w:val="00471DE0"/>
    <w:rsid w:val="004734D0"/>
    <w:rsid w:val="00474FB9"/>
    <w:rsid w:val="00475439"/>
    <w:rsid w:val="0047556B"/>
    <w:rsid w:val="004755AA"/>
    <w:rsid w:val="00475673"/>
    <w:rsid w:val="0047670B"/>
    <w:rsid w:val="0047744C"/>
    <w:rsid w:val="00477768"/>
    <w:rsid w:val="004808A3"/>
    <w:rsid w:val="00480DA6"/>
    <w:rsid w:val="0048159E"/>
    <w:rsid w:val="004821EB"/>
    <w:rsid w:val="0048235F"/>
    <w:rsid w:val="00483709"/>
    <w:rsid w:val="00485311"/>
    <w:rsid w:val="00485D2F"/>
    <w:rsid w:val="00485F8D"/>
    <w:rsid w:val="004868FF"/>
    <w:rsid w:val="00486DEB"/>
    <w:rsid w:val="00487853"/>
    <w:rsid w:val="004907E1"/>
    <w:rsid w:val="0049105A"/>
    <w:rsid w:val="00491A0D"/>
    <w:rsid w:val="00492BC5"/>
    <w:rsid w:val="00493314"/>
    <w:rsid w:val="0049366A"/>
    <w:rsid w:val="00493FD4"/>
    <w:rsid w:val="0049422C"/>
    <w:rsid w:val="00494285"/>
    <w:rsid w:val="00494709"/>
    <w:rsid w:val="00494EDB"/>
    <w:rsid w:val="00495BBA"/>
    <w:rsid w:val="00495D48"/>
    <w:rsid w:val="004964F1"/>
    <w:rsid w:val="00497CD3"/>
    <w:rsid w:val="004A0133"/>
    <w:rsid w:val="004A0954"/>
    <w:rsid w:val="004A0D15"/>
    <w:rsid w:val="004A1485"/>
    <w:rsid w:val="004A16BC"/>
    <w:rsid w:val="004A29A0"/>
    <w:rsid w:val="004A2B94"/>
    <w:rsid w:val="004A4007"/>
    <w:rsid w:val="004A4811"/>
    <w:rsid w:val="004A4CC3"/>
    <w:rsid w:val="004A5D98"/>
    <w:rsid w:val="004B0B8F"/>
    <w:rsid w:val="004B17A8"/>
    <w:rsid w:val="004B1F1F"/>
    <w:rsid w:val="004B5451"/>
    <w:rsid w:val="004B6F6A"/>
    <w:rsid w:val="004B77BE"/>
    <w:rsid w:val="004B7C0C"/>
    <w:rsid w:val="004C124B"/>
    <w:rsid w:val="004C18A7"/>
    <w:rsid w:val="004C243E"/>
    <w:rsid w:val="004C2D6C"/>
    <w:rsid w:val="004C3686"/>
    <w:rsid w:val="004C3898"/>
    <w:rsid w:val="004C3E2D"/>
    <w:rsid w:val="004C6A57"/>
    <w:rsid w:val="004C7883"/>
    <w:rsid w:val="004C7FB7"/>
    <w:rsid w:val="004D058A"/>
    <w:rsid w:val="004D1082"/>
    <w:rsid w:val="004D164F"/>
    <w:rsid w:val="004D17D6"/>
    <w:rsid w:val="004D2C44"/>
    <w:rsid w:val="004D2DE7"/>
    <w:rsid w:val="004D2E69"/>
    <w:rsid w:val="004D366B"/>
    <w:rsid w:val="004D36B1"/>
    <w:rsid w:val="004D3EF9"/>
    <w:rsid w:val="004D40CF"/>
    <w:rsid w:val="004D4CF4"/>
    <w:rsid w:val="004D68EF"/>
    <w:rsid w:val="004D7EBD"/>
    <w:rsid w:val="004D7FBF"/>
    <w:rsid w:val="004E0267"/>
    <w:rsid w:val="004E207C"/>
    <w:rsid w:val="004E2680"/>
    <w:rsid w:val="004E28F9"/>
    <w:rsid w:val="004E3B04"/>
    <w:rsid w:val="004E462E"/>
    <w:rsid w:val="004E5173"/>
    <w:rsid w:val="004E56DC"/>
    <w:rsid w:val="004E6D13"/>
    <w:rsid w:val="004E6E09"/>
    <w:rsid w:val="004E76F4"/>
    <w:rsid w:val="004F0B4E"/>
    <w:rsid w:val="004F0B6C"/>
    <w:rsid w:val="004F0BC9"/>
    <w:rsid w:val="004F0CBB"/>
    <w:rsid w:val="004F1AD8"/>
    <w:rsid w:val="004F2078"/>
    <w:rsid w:val="004F4BDB"/>
    <w:rsid w:val="004F4DA3"/>
    <w:rsid w:val="004F5196"/>
    <w:rsid w:val="004F5698"/>
    <w:rsid w:val="004F6034"/>
    <w:rsid w:val="004F6291"/>
    <w:rsid w:val="004F6C5F"/>
    <w:rsid w:val="004F7A71"/>
    <w:rsid w:val="00500B8D"/>
    <w:rsid w:val="00500E37"/>
    <w:rsid w:val="0050151E"/>
    <w:rsid w:val="00504B96"/>
    <w:rsid w:val="00504BC4"/>
    <w:rsid w:val="0050604B"/>
    <w:rsid w:val="00506557"/>
    <w:rsid w:val="00506720"/>
    <w:rsid w:val="0050677A"/>
    <w:rsid w:val="00506D97"/>
    <w:rsid w:val="0051028C"/>
    <w:rsid w:val="005108D8"/>
    <w:rsid w:val="00510F0D"/>
    <w:rsid w:val="0051106B"/>
    <w:rsid w:val="005116F9"/>
    <w:rsid w:val="0051266A"/>
    <w:rsid w:val="00512C73"/>
    <w:rsid w:val="0051323F"/>
    <w:rsid w:val="005136F5"/>
    <w:rsid w:val="00513C86"/>
    <w:rsid w:val="005153A7"/>
    <w:rsid w:val="005160BD"/>
    <w:rsid w:val="00517122"/>
    <w:rsid w:val="00517ED0"/>
    <w:rsid w:val="005219CF"/>
    <w:rsid w:val="00522BCA"/>
    <w:rsid w:val="00523CDE"/>
    <w:rsid w:val="005245E9"/>
    <w:rsid w:val="00526A1F"/>
    <w:rsid w:val="005275C4"/>
    <w:rsid w:val="00530E21"/>
    <w:rsid w:val="00532526"/>
    <w:rsid w:val="00532B25"/>
    <w:rsid w:val="00534297"/>
    <w:rsid w:val="005346B3"/>
    <w:rsid w:val="00534B59"/>
    <w:rsid w:val="0053589B"/>
    <w:rsid w:val="00536759"/>
    <w:rsid w:val="005374DD"/>
    <w:rsid w:val="00537C62"/>
    <w:rsid w:val="00540574"/>
    <w:rsid w:val="0054062D"/>
    <w:rsid w:val="00540BC8"/>
    <w:rsid w:val="005415BE"/>
    <w:rsid w:val="005428E5"/>
    <w:rsid w:val="005444E1"/>
    <w:rsid w:val="00546970"/>
    <w:rsid w:val="00547134"/>
    <w:rsid w:val="005476F5"/>
    <w:rsid w:val="005548D3"/>
    <w:rsid w:val="00554E19"/>
    <w:rsid w:val="00555226"/>
    <w:rsid w:val="00555386"/>
    <w:rsid w:val="0055678E"/>
    <w:rsid w:val="0056121F"/>
    <w:rsid w:val="0056169B"/>
    <w:rsid w:val="00563645"/>
    <w:rsid w:val="00564B4A"/>
    <w:rsid w:val="00565B3B"/>
    <w:rsid w:val="0056733F"/>
    <w:rsid w:val="00572505"/>
    <w:rsid w:val="005803D6"/>
    <w:rsid w:val="00580611"/>
    <w:rsid w:val="005812CD"/>
    <w:rsid w:val="0058146F"/>
    <w:rsid w:val="00582809"/>
    <w:rsid w:val="005828AD"/>
    <w:rsid w:val="005849FC"/>
    <w:rsid w:val="00584E19"/>
    <w:rsid w:val="00584F45"/>
    <w:rsid w:val="0058699C"/>
    <w:rsid w:val="00586C14"/>
    <w:rsid w:val="0058717D"/>
    <w:rsid w:val="005871AE"/>
    <w:rsid w:val="0058798C"/>
    <w:rsid w:val="005900FA"/>
    <w:rsid w:val="00590F1E"/>
    <w:rsid w:val="00592259"/>
    <w:rsid w:val="00592D7B"/>
    <w:rsid w:val="005935A4"/>
    <w:rsid w:val="005948C2"/>
    <w:rsid w:val="00595DCA"/>
    <w:rsid w:val="00596246"/>
    <w:rsid w:val="0059757E"/>
    <w:rsid w:val="0059779B"/>
    <w:rsid w:val="00597DC8"/>
    <w:rsid w:val="005A0EB4"/>
    <w:rsid w:val="005A209A"/>
    <w:rsid w:val="005A336E"/>
    <w:rsid w:val="005A36B2"/>
    <w:rsid w:val="005A627C"/>
    <w:rsid w:val="005A64B7"/>
    <w:rsid w:val="005A662D"/>
    <w:rsid w:val="005A74F3"/>
    <w:rsid w:val="005B03D1"/>
    <w:rsid w:val="005B0F7B"/>
    <w:rsid w:val="005B12FA"/>
    <w:rsid w:val="005B1333"/>
    <w:rsid w:val="005B1369"/>
    <w:rsid w:val="005B1409"/>
    <w:rsid w:val="005B210A"/>
    <w:rsid w:val="005B35D7"/>
    <w:rsid w:val="005B392A"/>
    <w:rsid w:val="005B3AA3"/>
    <w:rsid w:val="005B6F83"/>
    <w:rsid w:val="005B7184"/>
    <w:rsid w:val="005B798B"/>
    <w:rsid w:val="005C18EF"/>
    <w:rsid w:val="005C1FBF"/>
    <w:rsid w:val="005C24B6"/>
    <w:rsid w:val="005C36FE"/>
    <w:rsid w:val="005C5014"/>
    <w:rsid w:val="005C68EC"/>
    <w:rsid w:val="005C735A"/>
    <w:rsid w:val="005C74FB"/>
    <w:rsid w:val="005C7BE8"/>
    <w:rsid w:val="005C7EC9"/>
    <w:rsid w:val="005D03AC"/>
    <w:rsid w:val="005D0A85"/>
    <w:rsid w:val="005D131C"/>
    <w:rsid w:val="005D1602"/>
    <w:rsid w:val="005D1E33"/>
    <w:rsid w:val="005D3A1A"/>
    <w:rsid w:val="005D54F1"/>
    <w:rsid w:val="005D59AC"/>
    <w:rsid w:val="005D7C9A"/>
    <w:rsid w:val="005D7CDC"/>
    <w:rsid w:val="005E1703"/>
    <w:rsid w:val="005E22B2"/>
    <w:rsid w:val="005E2EBA"/>
    <w:rsid w:val="005E385F"/>
    <w:rsid w:val="005E3963"/>
    <w:rsid w:val="005E3C97"/>
    <w:rsid w:val="005E554F"/>
    <w:rsid w:val="005E565F"/>
    <w:rsid w:val="005E5B81"/>
    <w:rsid w:val="005E6756"/>
    <w:rsid w:val="005F039D"/>
    <w:rsid w:val="005F227B"/>
    <w:rsid w:val="005F2CB1"/>
    <w:rsid w:val="005F3025"/>
    <w:rsid w:val="005F3145"/>
    <w:rsid w:val="005F36EA"/>
    <w:rsid w:val="005F449E"/>
    <w:rsid w:val="005F5DE1"/>
    <w:rsid w:val="005F618C"/>
    <w:rsid w:val="005F70BD"/>
    <w:rsid w:val="005F7131"/>
    <w:rsid w:val="005F7BFA"/>
    <w:rsid w:val="00600096"/>
    <w:rsid w:val="006001B5"/>
    <w:rsid w:val="006001DF"/>
    <w:rsid w:val="00600E04"/>
    <w:rsid w:val="00600E44"/>
    <w:rsid w:val="006014C3"/>
    <w:rsid w:val="00601AA7"/>
    <w:rsid w:val="00601DAF"/>
    <w:rsid w:val="00601DDB"/>
    <w:rsid w:val="00602655"/>
    <w:rsid w:val="0060283C"/>
    <w:rsid w:val="00603A81"/>
    <w:rsid w:val="00603F2A"/>
    <w:rsid w:val="00604B89"/>
    <w:rsid w:val="00604F14"/>
    <w:rsid w:val="006050E9"/>
    <w:rsid w:val="00606A3B"/>
    <w:rsid w:val="0060775A"/>
    <w:rsid w:val="006078D1"/>
    <w:rsid w:val="006107E7"/>
    <w:rsid w:val="006118EC"/>
    <w:rsid w:val="00611B83"/>
    <w:rsid w:val="006124CF"/>
    <w:rsid w:val="0061276A"/>
    <w:rsid w:val="00613257"/>
    <w:rsid w:val="00615254"/>
    <w:rsid w:val="00615348"/>
    <w:rsid w:val="006153D8"/>
    <w:rsid w:val="00615DF2"/>
    <w:rsid w:val="00616029"/>
    <w:rsid w:val="0061683F"/>
    <w:rsid w:val="00616CEC"/>
    <w:rsid w:val="00617571"/>
    <w:rsid w:val="00620378"/>
    <w:rsid w:val="00620464"/>
    <w:rsid w:val="00620A71"/>
    <w:rsid w:val="00620D80"/>
    <w:rsid w:val="0062134E"/>
    <w:rsid w:val="0062135F"/>
    <w:rsid w:val="00621BF9"/>
    <w:rsid w:val="00621DDF"/>
    <w:rsid w:val="00621E3B"/>
    <w:rsid w:val="00621F0F"/>
    <w:rsid w:val="00622D28"/>
    <w:rsid w:val="006234A6"/>
    <w:rsid w:val="00623DE5"/>
    <w:rsid w:val="0062596F"/>
    <w:rsid w:val="00625995"/>
    <w:rsid w:val="00630001"/>
    <w:rsid w:val="00630183"/>
    <w:rsid w:val="00630A32"/>
    <w:rsid w:val="006311B3"/>
    <w:rsid w:val="0063147E"/>
    <w:rsid w:val="0063284C"/>
    <w:rsid w:val="006334C9"/>
    <w:rsid w:val="006336DB"/>
    <w:rsid w:val="00633F14"/>
    <w:rsid w:val="00634E45"/>
    <w:rsid w:val="0063501D"/>
    <w:rsid w:val="006355CB"/>
    <w:rsid w:val="00636398"/>
    <w:rsid w:val="0063661A"/>
    <w:rsid w:val="006368D3"/>
    <w:rsid w:val="0063744A"/>
    <w:rsid w:val="00637484"/>
    <w:rsid w:val="00637628"/>
    <w:rsid w:val="006376D0"/>
    <w:rsid w:val="006377EC"/>
    <w:rsid w:val="00637D80"/>
    <w:rsid w:val="00640595"/>
    <w:rsid w:val="00640A26"/>
    <w:rsid w:val="0064151F"/>
    <w:rsid w:val="00641533"/>
    <w:rsid w:val="00641579"/>
    <w:rsid w:val="0064208D"/>
    <w:rsid w:val="00642E13"/>
    <w:rsid w:val="0064337B"/>
    <w:rsid w:val="00643475"/>
    <w:rsid w:val="0064396A"/>
    <w:rsid w:val="0064540E"/>
    <w:rsid w:val="0064624E"/>
    <w:rsid w:val="00646AC1"/>
    <w:rsid w:val="00646C0E"/>
    <w:rsid w:val="00646C35"/>
    <w:rsid w:val="0064784B"/>
    <w:rsid w:val="00647B32"/>
    <w:rsid w:val="00650AB9"/>
    <w:rsid w:val="00650EED"/>
    <w:rsid w:val="00651F02"/>
    <w:rsid w:val="006522EA"/>
    <w:rsid w:val="00652C0C"/>
    <w:rsid w:val="006543C0"/>
    <w:rsid w:val="006555B6"/>
    <w:rsid w:val="00655733"/>
    <w:rsid w:val="006557DD"/>
    <w:rsid w:val="00655ACD"/>
    <w:rsid w:val="00656A92"/>
    <w:rsid w:val="00656DDE"/>
    <w:rsid w:val="0065782C"/>
    <w:rsid w:val="00657ACA"/>
    <w:rsid w:val="00657E2D"/>
    <w:rsid w:val="0066011D"/>
    <w:rsid w:val="006601F1"/>
    <w:rsid w:val="0066052F"/>
    <w:rsid w:val="006606A0"/>
    <w:rsid w:val="006607C0"/>
    <w:rsid w:val="00660956"/>
    <w:rsid w:val="00660EB3"/>
    <w:rsid w:val="006613A6"/>
    <w:rsid w:val="006617D5"/>
    <w:rsid w:val="00661A51"/>
    <w:rsid w:val="006627A2"/>
    <w:rsid w:val="006634E6"/>
    <w:rsid w:val="006643C7"/>
    <w:rsid w:val="006655EE"/>
    <w:rsid w:val="00665924"/>
    <w:rsid w:val="00666C07"/>
    <w:rsid w:val="00666D93"/>
    <w:rsid w:val="00667EE7"/>
    <w:rsid w:val="0067005F"/>
    <w:rsid w:val="00670922"/>
    <w:rsid w:val="006709C1"/>
    <w:rsid w:val="00670BE1"/>
    <w:rsid w:val="0067159E"/>
    <w:rsid w:val="0067172B"/>
    <w:rsid w:val="0067218F"/>
    <w:rsid w:val="006724B5"/>
    <w:rsid w:val="006725FF"/>
    <w:rsid w:val="00672C7F"/>
    <w:rsid w:val="00673066"/>
    <w:rsid w:val="006741F2"/>
    <w:rsid w:val="00674356"/>
    <w:rsid w:val="006746E9"/>
    <w:rsid w:val="00674CC3"/>
    <w:rsid w:val="006751D7"/>
    <w:rsid w:val="00675C72"/>
    <w:rsid w:val="0067612A"/>
    <w:rsid w:val="00676FFC"/>
    <w:rsid w:val="006771F9"/>
    <w:rsid w:val="00677332"/>
    <w:rsid w:val="006776D7"/>
    <w:rsid w:val="00677F1F"/>
    <w:rsid w:val="00680887"/>
    <w:rsid w:val="00681003"/>
    <w:rsid w:val="006811CD"/>
    <w:rsid w:val="006817C9"/>
    <w:rsid w:val="00681891"/>
    <w:rsid w:val="006818C1"/>
    <w:rsid w:val="00681C7A"/>
    <w:rsid w:val="006822A8"/>
    <w:rsid w:val="006823E2"/>
    <w:rsid w:val="00682B5E"/>
    <w:rsid w:val="00682BD1"/>
    <w:rsid w:val="00682DB8"/>
    <w:rsid w:val="006836BA"/>
    <w:rsid w:val="00683CAD"/>
    <w:rsid w:val="00683EC7"/>
    <w:rsid w:val="00683ECE"/>
    <w:rsid w:val="0068457F"/>
    <w:rsid w:val="00684AAA"/>
    <w:rsid w:val="0068505F"/>
    <w:rsid w:val="006866C9"/>
    <w:rsid w:val="006869F3"/>
    <w:rsid w:val="00691AF0"/>
    <w:rsid w:val="00693F26"/>
    <w:rsid w:val="0069453F"/>
    <w:rsid w:val="00695FA4"/>
    <w:rsid w:val="00695FC2"/>
    <w:rsid w:val="006960CE"/>
    <w:rsid w:val="00696949"/>
    <w:rsid w:val="00697052"/>
    <w:rsid w:val="006973B9"/>
    <w:rsid w:val="00697A11"/>
    <w:rsid w:val="006A0BAE"/>
    <w:rsid w:val="006A46FB"/>
    <w:rsid w:val="006A522A"/>
    <w:rsid w:val="006A5E28"/>
    <w:rsid w:val="006A697B"/>
    <w:rsid w:val="006A6F11"/>
    <w:rsid w:val="006A757E"/>
    <w:rsid w:val="006A7AFF"/>
    <w:rsid w:val="006A7BBB"/>
    <w:rsid w:val="006B0828"/>
    <w:rsid w:val="006B1816"/>
    <w:rsid w:val="006B2099"/>
    <w:rsid w:val="006B3CBC"/>
    <w:rsid w:val="006B50CF"/>
    <w:rsid w:val="006B5C27"/>
    <w:rsid w:val="006B5FB3"/>
    <w:rsid w:val="006B6712"/>
    <w:rsid w:val="006C03B8"/>
    <w:rsid w:val="006C0B13"/>
    <w:rsid w:val="006C1EED"/>
    <w:rsid w:val="006C28B6"/>
    <w:rsid w:val="006C428E"/>
    <w:rsid w:val="006C438D"/>
    <w:rsid w:val="006C4725"/>
    <w:rsid w:val="006C529D"/>
    <w:rsid w:val="006C5EC9"/>
    <w:rsid w:val="006C6059"/>
    <w:rsid w:val="006C6FCC"/>
    <w:rsid w:val="006C7522"/>
    <w:rsid w:val="006D073D"/>
    <w:rsid w:val="006D0BA2"/>
    <w:rsid w:val="006D0C0E"/>
    <w:rsid w:val="006D0CF0"/>
    <w:rsid w:val="006D1518"/>
    <w:rsid w:val="006D1971"/>
    <w:rsid w:val="006D2507"/>
    <w:rsid w:val="006D36B8"/>
    <w:rsid w:val="006D4016"/>
    <w:rsid w:val="006D4601"/>
    <w:rsid w:val="006D4CE4"/>
    <w:rsid w:val="006D6F08"/>
    <w:rsid w:val="006D788B"/>
    <w:rsid w:val="006D7A23"/>
    <w:rsid w:val="006D7ED7"/>
    <w:rsid w:val="006E000A"/>
    <w:rsid w:val="006E04B5"/>
    <w:rsid w:val="006E062C"/>
    <w:rsid w:val="006E09D3"/>
    <w:rsid w:val="006E1329"/>
    <w:rsid w:val="006E1874"/>
    <w:rsid w:val="006E1C82"/>
    <w:rsid w:val="006E28B7"/>
    <w:rsid w:val="006E2906"/>
    <w:rsid w:val="006E2A9B"/>
    <w:rsid w:val="006E2ADD"/>
    <w:rsid w:val="006E3310"/>
    <w:rsid w:val="006E4E39"/>
    <w:rsid w:val="006E565E"/>
    <w:rsid w:val="006E6047"/>
    <w:rsid w:val="006E6438"/>
    <w:rsid w:val="006E673D"/>
    <w:rsid w:val="006E6C52"/>
    <w:rsid w:val="006E7D3B"/>
    <w:rsid w:val="006E7F06"/>
    <w:rsid w:val="006F0D3C"/>
    <w:rsid w:val="006F11BF"/>
    <w:rsid w:val="006F17FF"/>
    <w:rsid w:val="006F1B70"/>
    <w:rsid w:val="006F2A45"/>
    <w:rsid w:val="006F341D"/>
    <w:rsid w:val="006F348B"/>
    <w:rsid w:val="006F3CDE"/>
    <w:rsid w:val="006F58D4"/>
    <w:rsid w:val="006F5DD8"/>
    <w:rsid w:val="006F5F81"/>
    <w:rsid w:val="006F6582"/>
    <w:rsid w:val="006F6F8B"/>
    <w:rsid w:val="006F70CF"/>
    <w:rsid w:val="006F7767"/>
    <w:rsid w:val="00700090"/>
    <w:rsid w:val="00701430"/>
    <w:rsid w:val="0070146B"/>
    <w:rsid w:val="00702195"/>
    <w:rsid w:val="0070346E"/>
    <w:rsid w:val="00704EDB"/>
    <w:rsid w:val="00706101"/>
    <w:rsid w:val="00707072"/>
    <w:rsid w:val="00707D61"/>
    <w:rsid w:val="00707D9C"/>
    <w:rsid w:val="0071217F"/>
    <w:rsid w:val="00712287"/>
    <w:rsid w:val="00712772"/>
    <w:rsid w:val="00714183"/>
    <w:rsid w:val="0071434E"/>
    <w:rsid w:val="007148D3"/>
    <w:rsid w:val="00714F6D"/>
    <w:rsid w:val="00715B9A"/>
    <w:rsid w:val="00716295"/>
    <w:rsid w:val="0071642D"/>
    <w:rsid w:val="0072006D"/>
    <w:rsid w:val="00720BC3"/>
    <w:rsid w:val="007231E1"/>
    <w:rsid w:val="00723F1C"/>
    <w:rsid w:val="00723F39"/>
    <w:rsid w:val="00725798"/>
    <w:rsid w:val="007257D0"/>
    <w:rsid w:val="00726252"/>
    <w:rsid w:val="00726EA6"/>
    <w:rsid w:val="00727208"/>
    <w:rsid w:val="00727680"/>
    <w:rsid w:val="00733C7D"/>
    <w:rsid w:val="0073435E"/>
    <w:rsid w:val="0073449B"/>
    <w:rsid w:val="00734640"/>
    <w:rsid w:val="007348B1"/>
    <w:rsid w:val="00735905"/>
    <w:rsid w:val="00735D52"/>
    <w:rsid w:val="00735FEC"/>
    <w:rsid w:val="007362A6"/>
    <w:rsid w:val="007365C5"/>
    <w:rsid w:val="00736D7D"/>
    <w:rsid w:val="0073782A"/>
    <w:rsid w:val="00740A8F"/>
    <w:rsid w:val="00740E58"/>
    <w:rsid w:val="007419BE"/>
    <w:rsid w:val="0074315D"/>
    <w:rsid w:val="0074333D"/>
    <w:rsid w:val="00743376"/>
    <w:rsid w:val="00743499"/>
    <w:rsid w:val="00743D8A"/>
    <w:rsid w:val="007445A0"/>
    <w:rsid w:val="0074524B"/>
    <w:rsid w:val="00745E91"/>
    <w:rsid w:val="00747223"/>
    <w:rsid w:val="00747D8B"/>
    <w:rsid w:val="00750041"/>
    <w:rsid w:val="007503DD"/>
    <w:rsid w:val="00750AD7"/>
    <w:rsid w:val="00751228"/>
    <w:rsid w:val="0075312A"/>
    <w:rsid w:val="00753B3B"/>
    <w:rsid w:val="00753C3D"/>
    <w:rsid w:val="00754D1C"/>
    <w:rsid w:val="007571E1"/>
    <w:rsid w:val="00757A16"/>
    <w:rsid w:val="007604B2"/>
    <w:rsid w:val="00760CDF"/>
    <w:rsid w:val="007614AB"/>
    <w:rsid w:val="00761D38"/>
    <w:rsid w:val="00763AB1"/>
    <w:rsid w:val="00763C38"/>
    <w:rsid w:val="00765281"/>
    <w:rsid w:val="00765B5F"/>
    <w:rsid w:val="00766BAD"/>
    <w:rsid w:val="00767DF7"/>
    <w:rsid w:val="00770750"/>
    <w:rsid w:val="00772256"/>
    <w:rsid w:val="007725F1"/>
    <w:rsid w:val="007729A2"/>
    <w:rsid w:val="00773611"/>
    <w:rsid w:val="007755F2"/>
    <w:rsid w:val="00775EBF"/>
    <w:rsid w:val="00775F9A"/>
    <w:rsid w:val="00776971"/>
    <w:rsid w:val="00780A80"/>
    <w:rsid w:val="0078177E"/>
    <w:rsid w:val="007817CF"/>
    <w:rsid w:val="00782020"/>
    <w:rsid w:val="00782550"/>
    <w:rsid w:val="00782D5A"/>
    <w:rsid w:val="0078304C"/>
    <w:rsid w:val="00783673"/>
    <w:rsid w:val="007846A6"/>
    <w:rsid w:val="0078521D"/>
    <w:rsid w:val="007853E4"/>
    <w:rsid w:val="00785490"/>
    <w:rsid w:val="007856D0"/>
    <w:rsid w:val="00785CA6"/>
    <w:rsid w:val="00785EE7"/>
    <w:rsid w:val="007865B7"/>
    <w:rsid w:val="00791415"/>
    <w:rsid w:val="00791EA7"/>
    <w:rsid w:val="007925EA"/>
    <w:rsid w:val="00793071"/>
    <w:rsid w:val="0079323A"/>
    <w:rsid w:val="00793CD8"/>
    <w:rsid w:val="00794FA2"/>
    <w:rsid w:val="00795C92"/>
    <w:rsid w:val="00796231"/>
    <w:rsid w:val="0079747F"/>
    <w:rsid w:val="00797991"/>
    <w:rsid w:val="007A0BD2"/>
    <w:rsid w:val="007A1398"/>
    <w:rsid w:val="007A1597"/>
    <w:rsid w:val="007A1CB3"/>
    <w:rsid w:val="007A2D33"/>
    <w:rsid w:val="007A306F"/>
    <w:rsid w:val="007A3B7A"/>
    <w:rsid w:val="007A43A6"/>
    <w:rsid w:val="007A4A60"/>
    <w:rsid w:val="007A58A6"/>
    <w:rsid w:val="007A58CA"/>
    <w:rsid w:val="007A7B8D"/>
    <w:rsid w:val="007B00A1"/>
    <w:rsid w:val="007B00E8"/>
    <w:rsid w:val="007B11B2"/>
    <w:rsid w:val="007B16C8"/>
    <w:rsid w:val="007B1EB3"/>
    <w:rsid w:val="007B2490"/>
    <w:rsid w:val="007B330B"/>
    <w:rsid w:val="007B343A"/>
    <w:rsid w:val="007B3D2D"/>
    <w:rsid w:val="007B4738"/>
    <w:rsid w:val="007B4AED"/>
    <w:rsid w:val="007B50AE"/>
    <w:rsid w:val="007B51DF"/>
    <w:rsid w:val="007B5483"/>
    <w:rsid w:val="007B57F7"/>
    <w:rsid w:val="007B61B4"/>
    <w:rsid w:val="007B7223"/>
    <w:rsid w:val="007B78F8"/>
    <w:rsid w:val="007B79F6"/>
    <w:rsid w:val="007C05DD"/>
    <w:rsid w:val="007C12FA"/>
    <w:rsid w:val="007C13EA"/>
    <w:rsid w:val="007C1BB5"/>
    <w:rsid w:val="007C317A"/>
    <w:rsid w:val="007C364E"/>
    <w:rsid w:val="007C3D18"/>
    <w:rsid w:val="007C49C9"/>
    <w:rsid w:val="007C60BF"/>
    <w:rsid w:val="007C6A07"/>
    <w:rsid w:val="007C75A1"/>
    <w:rsid w:val="007C77A5"/>
    <w:rsid w:val="007C78E9"/>
    <w:rsid w:val="007D04E5"/>
    <w:rsid w:val="007D1E7E"/>
    <w:rsid w:val="007D3AC8"/>
    <w:rsid w:val="007D3E8C"/>
    <w:rsid w:val="007D4E4C"/>
    <w:rsid w:val="007D5402"/>
    <w:rsid w:val="007D5901"/>
    <w:rsid w:val="007D5927"/>
    <w:rsid w:val="007D6F15"/>
    <w:rsid w:val="007D7526"/>
    <w:rsid w:val="007D7D03"/>
    <w:rsid w:val="007E0E2F"/>
    <w:rsid w:val="007E15D6"/>
    <w:rsid w:val="007E2BE3"/>
    <w:rsid w:val="007E2F1A"/>
    <w:rsid w:val="007E3402"/>
    <w:rsid w:val="007E4610"/>
    <w:rsid w:val="007E4667"/>
    <w:rsid w:val="007E4715"/>
    <w:rsid w:val="007E505B"/>
    <w:rsid w:val="007E52B3"/>
    <w:rsid w:val="007E5679"/>
    <w:rsid w:val="007E5F06"/>
    <w:rsid w:val="007E632C"/>
    <w:rsid w:val="007E6D89"/>
    <w:rsid w:val="007E6D9D"/>
    <w:rsid w:val="007E7091"/>
    <w:rsid w:val="007E78C8"/>
    <w:rsid w:val="007E7A71"/>
    <w:rsid w:val="007F01F3"/>
    <w:rsid w:val="007F07E4"/>
    <w:rsid w:val="007F0D74"/>
    <w:rsid w:val="007F36E2"/>
    <w:rsid w:val="007F6035"/>
    <w:rsid w:val="007F64D3"/>
    <w:rsid w:val="007F65A6"/>
    <w:rsid w:val="007F6E68"/>
    <w:rsid w:val="00800BAF"/>
    <w:rsid w:val="00803FAE"/>
    <w:rsid w:val="00804D8F"/>
    <w:rsid w:val="008059FE"/>
    <w:rsid w:val="0080605F"/>
    <w:rsid w:val="008063A1"/>
    <w:rsid w:val="00806770"/>
    <w:rsid w:val="00806B3E"/>
    <w:rsid w:val="00806F7A"/>
    <w:rsid w:val="00807786"/>
    <w:rsid w:val="00807DE7"/>
    <w:rsid w:val="00810EC1"/>
    <w:rsid w:val="00811253"/>
    <w:rsid w:val="00811A11"/>
    <w:rsid w:val="00811FCB"/>
    <w:rsid w:val="00812CCD"/>
    <w:rsid w:val="00814E1D"/>
    <w:rsid w:val="008158D6"/>
    <w:rsid w:val="00815CB1"/>
    <w:rsid w:val="00816784"/>
    <w:rsid w:val="008169E2"/>
    <w:rsid w:val="00816BA4"/>
    <w:rsid w:val="00817196"/>
    <w:rsid w:val="00817682"/>
    <w:rsid w:val="00822592"/>
    <w:rsid w:val="00822B19"/>
    <w:rsid w:val="0082341A"/>
    <w:rsid w:val="008235DB"/>
    <w:rsid w:val="00824AB4"/>
    <w:rsid w:val="00825C42"/>
    <w:rsid w:val="00825D25"/>
    <w:rsid w:val="00826605"/>
    <w:rsid w:val="00826640"/>
    <w:rsid w:val="00826A14"/>
    <w:rsid w:val="00827101"/>
    <w:rsid w:val="00827D6F"/>
    <w:rsid w:val="00830903"/>
    <w:rsid w:val="00831547"/>
    <w:rsid w:val="00834C14"/>
    <w:rsid w:val="00835396"/>
    <w:rsid w:val="00835B3B"/>
    <w:rsid w:val="00835D1B"/>
    <w:rsid w:val="00836544"/>
    <w:rsid w:val="008376AC"/>
    <w:rsid w:val="008378BC"/>
    <w:rsid w:val="00837A31"/>
    <w:rsid w:val="008408B6"/>
    <w:rsid w:val="008409E1"/>
    <w:rsid w:val="008416A3"/>
    <w:rsid w:val="00842FE2"/>
    <w:rsid w:val="0084314E"/>
    <w:rsid w:val="00844025"/>
    <w:rsid w:val="00844120"/>
    <w:rsid w:val="008444E8"/>
    <w:rsid w:val="00844E80"/>
    <w:rsid w:val="00846488"/>
    <w:rsid w:val="00846B27"/>
    <w:rsid w:val="00846C0F"/>
    <w:rsid w:val="00846FE7"/>
    <w:rsid w:val="00847D8E"/>
    <w:rsid w:val="0085090E"/>
    <w:rsid w:val="00850D70"/>
    <w:rsid w:val="00851A08"/>
    <w:rsid w:val="00852985"/>
    <w:rsid w:val="00852B86"/>
    <w:rsid w:val="00853F36"/>
    <w:rsid w:val="00854EE7"/>
    <w:rsid w:val="00855AC3"/>
    <w:rsid w:val="00856911"/>
    <w:rsid w:val="008572D9"/>
    <w:rsid w:val="008577E4"/>
    <w:rsid w:val="00857A22"/>
    <w:rsid w:val="008605B3"/>
    <w:rsid w:val="00860E85"/>
    <w:rsid w:val="00860F9B"/>
    <w:rsid w:val="0086117E"/>
    <w:rsid w:val="00861247"/>
    <w:rsid w:val="00861CDB"/>
    <w:rsid w:val="008625B7"/>
    <w:rsid w:val="00862662"/>
    <w:rsid w:val="00862F69"/>
    <w:rsid w:val="00864E87"/>
    <w:rsid w:val="008677FD"/>
    <w:rsid w:val="00867EAB"/>
    <w:rsid w:val="008701E7"/>
    <w:rsid w:val="008706D4"/>
    <w:rsid w:val="00870F25"/>
    <w:rsid w:val="00870F8A"/>
    <w:rsid w:val="00871563"/>
    <w:rsid w:val="008719A4"/>
    <w:rsid w:val="00871D23"/>
    <w:rsid w:val="00872829"/>
    <w:rsid w:val="00873A7E"/>
    <w:rsid w:val="00874312"/>
    <w:rsid w:val="0087437C"/>
    <w:rsid w:val="008745E0"/>
    <w:rsid w:val="00875609"/>
    <w:rsid w:val="008757A1"/>
    <w:rsid w:val="00875CD7"/>
    <w:rsid w:val="00876878"/>
    <w:rsid w:val="00876B4D"/>
    <w:rsid w:val="00877082"/>
    <w:rsid w:val="00877C11"/>
    <w:rsid w:val="00877DC7"/>
    <w:rsid w:val="00877F18"/>
    <w:rsid w:val="008805A9"/>
    <w:rsid w:val="00883310"/>
    <w:rsid w:val="00883C35"/>
    <w:rsid w:val="00883E94"/>
    <w:rsid w:val="0088439B"/>
    <w:rsid w:val="008846BF"/>
    <w:rsid w:val="0088507A"/>
    <w:rsid w:val="00886790"/>
    <w:rsid w:val="0088727F"/>
    <w:rsid w:val="00887F7C"/>
    <w:rsid w:val="00890D22"/>
    <w:rsid w:val="00890F19"/>
    <w:rsid w:val="0089171C"/>
    <w:rsid w:val="00891D42"/>
    <w:rsid w:val="00892AED"/>
    <w:rsid w:val="00893406"/>
    <w:rsid w:val="008937D1"/>
    <w:rsid w:val="008941E3"/>
    <w:rsid w:val="00894A88"/>
    <w:rsid w:val="00895386"/>
    <w:rsid w:val="00896505"/>
    <w:rsid w:val="00897759"/>
    <w:rsid w:val="008A21FF"/>
    <w:rsid w:val="008A2CE2"/>
    <w:rsid w:val="008A30AC"/>
    <w:rsid w:val="008A3205"/>
    <w:rsid w:val="008A3D54"/>
    <w:rsid w:val="008A44B8"/>
    <w:rsid w:val="008A4916"/>
    <w:rsid w:val="008A51A8"/>
    <w:rsid w:val="008A54C7"/>
    <w:rsid w:val="008A55F3"/>
    <w:rsid w:val="008A77D8"/>
    <w:rsid w:val="008B0480"/>
    <w:rsid w:val="008B0483"/>
    <w:rsid w:val="008B120C"/>
    <w:rsid w:val="008B1475"/>
    <w:rsid w:val="008B1623"/>
    <w:rsid w:val="008B25EB"/>
    <w:rsid w:val="008B35B0"/>
    <w:rsid w:val="008B39C3"/>
    <w:rsid w:val="008B51A0"/>
    <w:rsid w:val="008B5793"/>
    <w:rsid w:val="008B592A"/>
    <w:rsid w:val="008B5B59"/>
    <w:rsid w:val="008B65EC"/>
    <w:rsid w:val="008B6E33"/>
    <w:rsid w:val="008B7B5C"/>
    <w:rsid w:val="008B7CEB"/>
    <w:rsid w:val="008C0ABB"/>
    <w:rsid w:val="008C0C99"/>
    <w:rsid w:val="008C104B"/>
    <w:rsid w:val="008C2017"/>
    <w:rsid w:val="008C285A"/>
    <w:rsid w:val="008C39CD"/>
    <w:rsid w:val="008C4958"/>
    <w:rsid w:val="008C4BAA"/>
    <w:rsid w:val="008C6AE8"/>
    <w:rsid w:val="008C707F"/>
    <w:rsid w:val="008C74DA"/>
    <w:rsid w:val="008C74FD"/>
    <w:rsid w:val="008C7573"/>
    <w:rsid w:val="008C7833"/>
    <w:rsid w:val="008C79EE"/>
    <w:rsid w:val="008D00A5"/>
    <w:rsid w:val="008D038E"/>
    <w:rsid w:val="008D34F1"/>
    <w:rsid w:val="008D3518"/>
    <w:rsid w:val="008D39D8"/>
    <w:rsid w:val="008D44D4"/>
    <w:rsid w:val="008D5788"/>
    <w:rsid w:val="008D6C7A"/>
    <w:rsid w:val="008D6D1A"/>
    <w:rsid w:val="008E065E"/>
    <w:rsid w:val="008E0881"/>
    <w:rsid w:val="008E0927"/>
    <w:rsid w:val="008E1127"/>
    <w:rsid w:val="008E17A7"/>
    <w:rsid w:val="008E1909"/>
    <w:rsid w:val="008E1C99"/>
    <w:rsid w:val="008E2F02"/>
    <w:rsid w:val="008E6AFB"/>
    <w:rsid w:val="008E7979"/>
    <w:rsid w:val="008E7A94"/>
    <w:rsid w:val="008F0173"/>
    <w:rsid w:val="008F0CCA"/>
    <w:rsid w:val="008F1EAB"/>
    <w:rsid w:val="008F2A00"/>
    <w:rsid w:val="008F3216"/>
    <w:rsid w:val="008F33DC"/>
    <w:rsid w:val="008F477F"/>
    <w:rsid w:val="008F679C"/>
    <w:rsid w:val="008F6D6C"/>
    <w:rsid w:val="009010CC"/>
    <w:rsid w:val="00901548"/>
    <w:rsid w:val="00901A49"/>
    <w:rsid w:val="00901E92"/>
    <w:rsid w:val="00902350"/>
    <w:rsid w:val="00902AE8"/>
    <w:rsid w:val="009030D3"/>
    <w:rsid w:val="0090336B"/>
    <w:rsid w:val="009038FB"/>
    <w:rsid w:val="009047D9"/>
    <w:rsid w:val="00904BE5"/>
    <w:rsid w:val="009051E5"/>
    <w:rsid w:val="009053AA"/>
    <w:rsid w:val="009053F6"/>
    <w:rsid w:val="009061A3"/>
    <w:rsid w:val="00906939"/>
    <w:rsid w:val="00907912"/>
    <w:rsid w:val="00910784"/>
    <w:rsid w:val="00910AE0"/>
    <w:rsid w:val="00910B7D"/>
    <w:rsid w:val="00911D63"/>
    <w:rsid w:val="00911DFB"/>
    <w:rsid w:val="00912395"/>
    <w:rsid w:val="00912C2A"/>
    <w:rsid w:val="009139D9"/>
    <w:rsid w:val="00914937"/>
    <w:rsid w:val="00914AD8"/>
    <w:rsid w:val="00914EC2"/>
    <w:rsid w:val="00915954"/>
    <w:rsid w:val="009159D8"/>
    <w:rsid w:val="00916079"/>
    <w:rsid w:val="00916E34"/>
    <w:rsid w:val="00917401"/>
    <w:rsid w:val="00917C99"/>
    <w:rsid w:val="00917CE9"/>
    <w:rsid w:val="00920BF2"/>
    <w:rsid w:val="00921598"/>
    <w:rsid w:val="0092165C"/>
    <w:rsid w:val="00922010"/>
    <w:rsid w:val="009220C5"/>
    <w:rsid w:val="00922333"/>
    <w:rsid w:val="0092252B"/>
    <w:rsid w:val="00922B3F"/>
    <w:rsid w:val="00922C8C"/>
    <w:rsid w:val="00923B08"/>
    <w:rsid w:val="00923DA2"/>
    <w:rsid w:val="00925BB6"/>
    <w:rsid w:val="009270F7"/>
    <w:rsid w:val="00927E23"/>
    <w:rsid w:val="009301A2"/>
    <w:rsid w:val="009302E1"/>
    <w:rsid w:val="009307A1"/>
    <w:rsid w:val="00930D1C"/>
    <w:rsid w:val="00930FC1"/>
    <w:rsid w:val="009311D0"/>
    <w:rsid w:val="009314BD"/>
    <w:rsid w:val="00931BA4"/>
    <w:rsid w:val="00931BD9"/>
    <w:rsid w:val="00935004"/>
    <w:rsid w:val="0093588B"/>
    <w:rsid w:val="00935989"/>
    <w:rsid w:val="009368F3"/>
    <w:rsid w:val="00941636"/>
    <w:rsid w:val="009417C5"/>
    <w:rsid w:val="00941C6A"/>
    <w:rsid w:val="0094241D"/>
    <w:rsid w:val="00943742"/>
    <w:rsid w:val="00943BFA"/>
    <w:rsid w:val="009449FE"/>
    <w:rsid w:val="009457C0"/>
    <w:rsid w:val="00945C05"/>
    <w:rsid w:val="00946945"/>
    <w:rsid w:val="00946ABD"/>
    <w:rsid w:val="00946B25"/>
    <w:rsid w:val="00946D2F"/>
    <w:rsid w:val="00947713"/>
    <w:rsid w:val="00950DE7"/>
    <w:rsid w:val="0095185C"/>
    <w:rsid w:val="00951A41"/>
    <w:rsid w:val="00951DA4"/>
    <w:rsid w:val="00953734"/>
    <w:rsid w:val="00953920"/>
    <w:rsid w:val="00953D47"/>
    <w:rsid w:val="00953D52"/>
    <w:rsid w:val="00954DED"/>
    <w:rsid w:val="00955888"/>
    <w:rsid w:val="0095680B"/>
    <w:rsid w:val="0095681E"/>
    <w:rsid w:val="009572D4"/>
    <w:rsid w:val="009573E0"/>
    <w:rsid w:val="00957A6A"/>
    <w:rsid w:val="00961060"/>
    <w:rsid w:val="009616F8"/>
    <w:rsid w:val="00961921"/>
    <w:rsid w:val="009620DB"/>
    <w:rsid w:val="0096430A"/>
    <w:rsid w:val="009652C1"/>
    <w:rsid w:val="0096554B"/>
    <w:rsid w:val="0096584A"/>
    <w:rsid w:val="00966811"/>
    <w:rsid w:val="00967C81"/>
    <w:rsid w:val="0097117C"/>
    <w:rsid w:val="00971A4C"/>
    <w:rsid w:val="00971F08"/>
    <w:rsid w:val="00972021"/>
    <w:rsid w:val="0097324C"/>
    <w:rsid w:val="009751D4"/>
    <w:rsid w:val="0097603D"/>
    <w:rsid w:val="0097616F"/>
    <w:rsid w:val="0097690D"/>
    <w:rsid w:val="00976949"/>
    <w:rsid w:val="0097714A"/>
    <w:rsid w:val="00977280"/>
    <w:rsid w:val="009800D3"/>
    <w:rsid w:val="00980477"/>
    <w:rsid w:val="0098101D"/>
    <w:rsid w:val="00982CFF"/>
    <w:rsid w:val="00985253"/>
    <w:rsid w:val="009853B3"/>
    <w:rsid w:val="009856F8"/>
    <w:rsid w:val="00985AF0"/>
    <w:rsid w:val="009871F1"/>
    <w:rsid w:val="00987AF3"/>
    <w:rsid w:val="00990630"/>
    <w:rsid w:val="00990BC2"/>
    <w:rsid w:val="00990CD7"/>
    <w:rsid w:val="00991195"/>
    <w:rsid w:val="0099123D"/>
    <w:rsid w:val="00991761"/>
    <w:rsid w:val="009934BE"/>
    <w:rsid w:val="00993A75"/>
    <w:rsid w:val="00994877"/>
    <w:rsid w:val="00994DCA"/>
    <w:rsid w:val="009960EC"/>
    <w:rsid w:val="009970DD"/>
    <w:rsid w:val="00997A49"/>
    <w:rsid w:val="00997DD2"/>
    <w:rsid w:val="009A0FBA"/>
    <w:rsid w:val="009A1601"/>
    <w:rsid w:val="009A23DE"/>
    <w:rsid w:val="009A336A"/>
    <w:rsid w:val="009A3BB6"/>
    <w:rsid w:val="009A4230"/>
    <w:rsid w:val="009A462D"/>
    <w:rsid w:val="009A5CBA"/>
    <w:rsid w:val="009A6E62"/>
    <w:rsid w:val="009A7303"/>
    <w:rsid w:val="009B00CE"/>
    <w:rsid w:val="009B152C"/>
    <w:rsid w:val="009B1F30"/>
    <w:rsid w:val="009B2046"/>
    <w:rsid w:val="009B3807"/>
    <w:rsid w:val="009B3AC2"/>
    <w:rsid w:val="009B3D4D"/>
    <w:rsid w:val="009B4DF4"/>
    <w:rsid w:val="009B528F"/>
    <w:rsid w:val="009B564E"/>
    <w:rsid w:val="009B5890"/>
    <w:rsid w:val="009B6571"/>
    <w:rsid w:val="009B6B0B"/>
    <w:rsid w:val="009B7E87"/>
    <w:rsid w:val="009B7F7F"/>
    <w:rsid w:val="009C0169"/>
    <w:rsid w:val="009C15CD"/>
    <w:rsid w:val="009C403E"/>
    <w:rsid w:val="009C46D9"/>
    <w:rsid w:val="009D17BE"/>
    <w:rsid w:val="009D192D"/>
    <w:rsid w:val="009D232A"/>
    <w:rsid w:val="009D29AE"/>
    <w:rsid w:val="009D2FCA"/>
    <w:rsid w:val="009D3613"/>
    <w:rsid w:val="009D4FBE"/>
    <w:rsid w:val="009D4FF0"/>
    <w:rsid w:val="009D63D3"/>
    <w:rsid w:val="009D6775"/>
    <w:rsid w:val="009D6EFF"/>
    <w:rsid w:val="009D703C"/>
    <w:rsid w:val="009D718F"/>
    <w:rsid w:val="009E0259"/>
    <w:rsid w:val="009E068F"/>
    <w:rsid w:val="009E09A4"/>
    <w:rsid w:val="009E14E0"/>
    <w:rsid w:val="009E2952"/>
    <w:rsid w:val="009E35DB"/>
    <w:rsid w:val="009E47A3"/>
    <w:rsid w:val="009E5627"/>
    <w:rsid w:val="009E5963"/>
    <w:rsid w:val="009E6A7E"/>
    <w:rsid w:val="009F08F3"/>
    <w:rsid w:val="009F0F0D"/>
    <w:rsid w:val="009F26BF"/>
    <w:rsid w:val="009F344F"/>
    <w:rsid w:val="009F364E"/>
    <w:rsid w:val="009F3A28"/>
    <w:rsid w:val="009F4D4E"/>
    <w:rsid w:val="009F4F2A"/>
    <w:rsid w:val="009F5170"/>
    <w:rsid w:val="009F534B"/>
    <w:rsid w:val="009F5559"/>
    <w:rsid w:val="009F749A"/>
    <w:rsid w:val="009F75D8"/>
    <w:rsid w:val="009F7E01"/>
    <w:rsid w:val="009F7EED"/>
    <w:rsid w:val="00A001E4"/>
    <w:rsid w:val="00A00286"/>
    <w:rsid w:val="00A00485"/>
    <w:rsid w:val="00A015CC"/>
    <w:rsid w:val="00A02237"/>
    <w:rsid w:val="00A02E44"/>
    <w:rsid w:val="00A031D8"/>
    <w:rsid w:val="00A0393F"/>
    <w:rsid w:val="00A03CF4"/>
    <w:rsid w:val="00A03D59"/>
    <w:rsid w:val="00A03E48"/>
    <w:rsid w:val="00A04734"/>
    <w:rsid w:val="00A048A8"/>
    <w:rsid w:val="00A04A46"/>
    <w:rsid w:val="00A04F49"/>
    <w:rsid w:val="00A0580B"/>
    <w:rsid w:val="00A06677"/>
    <w:rsid w:val="00A07C43"/>
    <w:rsid w:val="00A10747"/>
    <w:rsid w:val="00A11C8C"/>
    <w:rsid w:val="00A12539"/>
    <w:rsid w:val="00A13C3F"/>
    <w:rsid w:val="00A13E54"/>
    <w:rsid w:val="00A14747"/>
    <w:rsid w:val="00A166BB"/>
    <w:rsid w:val="00A16B87"/>
    <w:rsid w:val="00A17A39"/>
    <w:rsid w:val="00A17C69"/>
    <w:rsid w:val="00A17F63"/>
    <w:rsid w:val="00A2193B"/>
    <w:rsid w:val="00A22CE9"/>
    <w:rsid w:val="00A22CF2"/>
    <w:rsid w:val="00A22ED9"/>
    <w:rsid w:val="00A2315D"/>
    <w:rsid w:val="00A2351A"/>
    <w:rsid w:val="00A23AD8"/>
    <w:rsid w:val="00A2575A"/>
    <w:rsid w:val="00A264A9"/>
    <w:rsid w:val="00A26777"/>
    <w:rsid w:val="00A26DCF"/>
    <w:rsid w:val="00A27785"/>
    <w:rsid w:val="00A30187"/>
    <w:rsid w:val="00A30D4C"/>
    <w:rsid w:val="00A318FE"/>
    <w:rsid w:val="00A32152"/>
    <w:rsid w:val="00A325F1"/>
    <w:rsid w:val="00A32A43"/>
    <w:rsid w:val="00A33186"/>
    <w:rsid w:val="00A3337D"/>
    <w:rsid w:val="00A342D0"/>
    <w:rsid w:val="00A3448A"/>
    <w:rsid w:val="00A36297"/>
    <w:rsid w:val="00A36BC8"/>
    <w:rsid w:val="00A37AEC"/>
    <w:rsid w:val="00A4002C"/>
    <w:rsid w:val="00A4051A"/>
    <w:rsid w:val="00A4088A"/>
    <w:rsid w:val="00A40C42"/>
    <w:rsid w:val="00A40DF9"/>
    <w:rsid w:val="00A41E2B"/>
    <w:rsid w:val="00A434D0"/>
    <w:rsid w:val="00A43A06"/>
    <w:rsid w:val="00A44BCA"/>
    <w:rsid w:val="00A44C2B"/>
    <w:rsid w:val="00A44D71"/>
    <w:rsid w:val="00A459E3"/>
    <w:rsid w:val="00A45B74"/>
    <w:rsid w:val="00A46913"/>
    <w:rsid w:val="00A47C26"/>
    <w:rsid w:val="00A50F75"/>
    <w:rsid w:val="00A513EF"/>
    <w:rsid w:val="00A52E1D"/>
    <w:rsid w:val="00A552C3"/>
    <w:rsid w:val="00A558F1"/>
    <w:rsid w:val="00A56733"/>
    <w:rsid w:val="00A57A87"/>
    <w:rsid w:val="00A610AE"/>
    <w:rsid w:val="00A61174"/>
    <w:rsid w:val="00A61499"/>
    <w:rsid w:val="00A61584"/>
    <w:rsid w:val="00A615D0"/>
    <w:rsid w:val="00A628C6"/>
    <w:rsid w:val="00A62A77"/>
    <w:rsid w:val="00A63483"/>
    <w:rsid w:val="00A6479C"/>
    <w:rsid w:val="00A64E49"/>
    <w:rsid w:val="00A657D7"/>
    <w:rsid w:val="00A6594C"/>
    <w:rsid w:val="00A65CED"/>
    <w:rsid w:val="00A660AC"/>
    <w:rsid w:val="00A664FE"/>
    <w:rsid w:val="00A668D6"/>
    <w:rsid w:val="00A66ECA"/>
    <w:rsid w:val="00A66F9C"/>
    <w:rsid w:val="00A6729D"/>
    <w:rsid w:val="00A67E6C"/>
    <w:rsid w:val="00A71B99"/>
    <w:rsid w:val="00A73351"/>
    <w:rsid w:val="00A739D0"/>
    <w:rsid w:val="00A73D29"/>
    <w:rsid w:val="00A7467C"/>
    <w:rsid w:val="00A748C8"/>
    <w:rsid w:val="00A74F74"/>
    <w:rsid w:val="00A76029"/>
    <w:rsid w:val="00A761D4"/>
    <w:rsid w:val="00A761F1"/>
    <w:rsid w:val="00A76B91"/>
    <w:rsid w:val="00A77EC4"/>
    <w:rsid w:val="00A80E8C"/>
    <w:rsid w:val="00A83409"/>
    <w:rsid w:val="00A83469"/>
    <w:rsid w:val="00A83E37"/>
    <w:rsid w:val="00A83F05"/>
    <w:rsid w:val="00A84304"/>
    <w:rsid w:val="00A8509A"/>
    <w:rsid w:val="00A85CDA"/>
    <w:rsid w:val="00A8768C"/>
    <w:rsid w:val="00A879B3"/>
    <w:rsid w:val="00A9023C"/>
    <w:rsid w:val="00A90695"/>
    <w:rsid w:val="00A90AA0"/>
    <w:rsid w:val="00A913E2"/>
    <w:rsid w:val="00A92879"/>
    <w:rsid w:val="00A92A97"/>
    <w:rsid w:val="00A934CD"/>
    <w:rsid w:val="00A9442A"/>
    <w:rsid w:val="00A9509D"/>
    <w:rsid w:val="00A957DA"/>
    <w:rsid w:val="00AA016F"/>
    <w:rsid w:val="00AA0175"/>
    <w:rsid w:val="00AA0182"/>
    <w:rsid w:val="00AA13A3"/>
    <w:rsid w:val="00AA1ED6"/>
    <w:rsid w:val="00AA1F86"/>
    <w:rsid w:val="00AA2935"/>
    <w:rsid w:val="00AA2E15"/>
    <w:rsid w:val="00AA3375"/>
    <w:rsid w:val="00AA35CC"/>
    <w:rsid w:val="00AA51D6"/>
    <w:rsid w:val="00AA5D94"/>
    <w:rsid w:val="00AA5DCC"/>
    <w:rsid w:val="00AA634D"/>
    <w:rsid w:val="00AA6412"/>
    <w:rsid w:val="00AA7CFE"/>
    <w:rsid w:val="00AB0BC8"/>
    <w:rsid w:val="00AB11CA"/>
    <w:rsid w:val="00AB14D9"/>
    <w:rsid w:val="00AB2000"/>
    <w:rsid w:val="00AB4AB8"/>
    <w:rsid w:val="00AB52EB"/>
    <w:rsid w:val="00AB655E"/>
    <w:rsid w:val="00AB7D1B"/>
    <w:rsid w:val="00AC007F"/>
    <w:rsid w:val="00AC021B"/>
    <w:rsid w:val="00AC027A"/>
    <w:rsid w:val="00AC08F7"/>
    <w:rsid w:val="00AC1373"/>
    <w:rsid w:val="00AC13DD"/>
    <w:rsid w:val="00AC18D2"/>
    <w:rsid w:val="00AC1D7D"/>
    <w:rsid w:val="00AC294C"/>
    <w:rsid w:val="00AC2ECD"/>
    <w:rsid w:val="00AC3119"/>
    <w:rsid w:val="00AC323C"/>
    <w:rsid w:val="00AC3836"/>
    <w:rsid w:val="00AC4299"/>
    <w:rsid w:val="00AC49FB"/>
    <w:rsid w:val="00AC5783"/>
    <w:rsid w:val="00AC5A10"/>
    <w:rsid w:val="00AC72F3"/>
    <w:rsid w:val="00AD0AA3"/>
    <w:rsid w:val="00AD25AC"/>
    <w:rsid w:val="00AD33C2"/>
    <w:rsid w:val="00AD3F94"/>
    <w:rsid w:val="00AD4A5A"/>
    <w:rsid w:val="00AD4D42"/>
    <w:rsid w:val="00AD5389"/>
    <w:rsid w:val="00AD5A61"/>
    <w:rsid w:val="00AD7BFB"/>
    <w:rsid w:val="00AE0DA7"/>
    <w:rsid w:val="00AE19E7"/>
    <w:rsid w:val="00AE1E65"/>
    <w:rsid w:val="00AE20C5"/>
    <w:rsid w:val="00AE27AC"/>
    <w:rsid w:val="00AE2FA6"/>
    <w:rsid w:val="00AE40E0"/>
    <w:rsid w:val="00AE4781"/>
    <w:rsid w:val="00AE4DBA"/>
    <w:rsid w:val="00AE4F07"/>
    <w:rsid w:val="00AE5A5E"/>
    <w:rsid w:val="00AE6121"/>
    <w:rsid w:val="00AE686F"/>
    <w:rsid w:val="00AF0400"/>
    <w:rsid w:val="00AF0AC0"/>
    <w:rsid w:val="00AF1C5D"/>
    <w:rsid w:val="00AF232C"/>
    <w:rsid w:val="00AF2BDB"/>
    <w:rsid w:val="00AF367E"/>
    <w:rsid w:val="00AF3B03"/>
    <w:rsid w:val="00AF42D7"/>
    <w:rsid w:val="00AF4494"/>
    <w:rsid w:val="00AF70EA"/>
    <w:rsid w:val="00AF74AC"/>
    <w:rsid w:val="00B006C8"/>
    <w:rsid w:val="00B006FE"/>
    <w:rsid w:val="00B007CB"/>
    <w:rsid w:val="00B00CCE"/>
    <w:rsid w:val="00B0292E"/>
    <w:rsid w:val="00B02AA9"/>
    <w:rsid w:val="00B02FA3"/>
    <w:rsid w:val="00B03143"/>
    <w:rsid w:val="00B031D6"/>
    <w:rsid w:val="00B041DE"/>
    <w:rsid w:val="00B05084"/>
    <w:rsid w:val="00B05CAD"/>
    <w:rsid w:val="00B06129"/>
    <w:rsid w:val="00B06475"/>
    <w:rsid w:val="00B074CD"/>
    <w:rsid w:val="00B07D10"/>
    <w:rsid w:val="00B1001C"/>
    <w:rsid w:val="00B10941"/>
    <w:rsid w:val="00B11187"/>
    <w:rsid w:val="00B11EA9"/>
    <w:rsid w:val="00B12259"/>
    <w:rsid w:val="00B12516"/>
    <w:rsid w:val="00B1274E"/>
    <w:rsid w:val="00B12C8C"/>
    <w:rsid w:val="00B1325C"/>
    <w:rsid w:val="00B140F2"/>
    <w:rsid w:val="00B14AFA"/>
    <w:rsid w:val="00B157F9"/>
    <w:rsid w:val="00B171A2"/>
    <w:rsid w:val="00B1755E"/>
    <w:rsid w:val="00B20256"/>
    <w:rsid w:val="00B20D09"/>
    <w:rsid w:val="00B217EA"/>
    <w:rsid w:val="00B23055"/>
    <w:rsid w:val="00B230D2"/>
    <w:rsid w:val="00B2430D"/>
    <w:rsid w:val="00B2463C"/>
    <w:rsid w:val="00B24E7C"/>
    <w:rsid w:val="00B259AC"/>
    <w:rsid w:val="00B2618D"/>
    <w:rsid w:val="00B26C8B"/>
    <w:rsid w:val="00B2763F"/>
    <w:rsid w:val="00B27654"/>
    <w:rsid w:val="00B27AAC"/>
    <w:rsid w:val="00B30929"/>
    <w:rsid w:val="00B30DF0"/>
    <w:rsid w:val="00B312A5"/>
    <w:rsid w:val="00B31F09"/>
    <w:rsid w:val="00B323C1"/>
    <w:rsid w:val="00B344C6"/>
    <w:rsid w:val="00B361BA"/>
    <w:rsid w:val="00B3657C"/>
    <w:rsid w:val="00B372AA"/>
    <w:rsid w:val="00B40445"/>
    <w:rsid w:val="00B4058E"/>
    <w:rsid w:val="00B409E0"/>
    <w:rsid w:val="00B41888"/>
    <w:rsid w:val="00B41A62"/>
    <w:rsid w:val="00B42181"/>
    <w:rsid w:val="00B4343B"/>
    <w:rsid w:val="00B43B02"/>
    <w:rsid w:val="00B45A52"/>
    <w:rsid w:val="00B46175"/>
    <w:rsid w:val="00B468B7"/>
    <w:rsid w:val="00B46977"/>
    <w:rsid w:val="00B51736"/>
    <w:rsid w:val="00B52810"/>
    <w:rsid w:val="00B532F9"/>
    <w:rsid w:val="00B538AA"/>
    <w:rsid w:val="00B54562"/>
    <w:rsid w:val="00B548B7"/>
    <w:rsid w:val="00B56D20"/>
    <w:rsid w:val="00B56DBE"/>
    <w:rsid w:val="00B570E4"/>
    <w:rsid w:val="00B6027A"/>
    <w:rsid w:val="00B602B3"/>
    <w:rsid w:val="00B60E30"/>
    <w:rsid w:val="00B61304"/>
    <w:rsid w:val="00B61468"/>
    <w:rsid w:val="00B61942"/>
    <w:rsid w:val="00B62331"/>
    <w:rsid w:val="00B62B97"/>
    <w:rsid w:val="00B62E30"/>
    <w:rsid w:val="00B63707"/>
    <w:rsid w:val="00B64CF9"/>
    <w:rsid w:val="00B664C7"/>
    <w:rsid w:val="00B66B1C"/>
    <w:rsid w:val="00B671E4"/>
    <w:rsid w:val="00B703A7"/>
    <w:rsid w:val="00B71DF5"/>
    <w:rsid w:val="00B720B7"/>
    <w:rsid w:val="00B739F6"/>
    <w:rsid w:val="00B746F2"/>
    <w:rsid w:val="00B7524B"/>
    <w:rsid w:val="00B75819"/>
    <w:rsid w:val="00B779B8"/>
    <w:rsid w:val="00B80B26"/>
    <w:rsid w:val="00B80FDD"/>
    <w:rsid w:val="00B81366"/>
    <w:rsid w:val="00B81A6C"/>
    <w:rsid w:val="00B81D4A"/>
    <w:rsid w:val="00B82542"/>
    <w:rsid w:val="00B82E47"/>
    <w:rsid w:val="00B82F50"/>
    <w:rsid w:val="00B838EF"/>
    <w:rsid w:val="00B8397E"/>
    <w:rsid w:val="00B856B4"/>
    <w:rsid w:val="00B85DE5"/>
    <w:rsid w:val="00B865C4"/>
    <w:rsid w:val="00B87587"/>
    <w:rsid w:val="00B87BDE"/>
    <w:rsid w:val="00B90F73"/>
    <w:rsid w:val="00B9107B"/>
    <w:rsid w:val="00B9152F"/>
    <w:rsid w:val="00B92217"/>
    <w:rsid w:val="00B927D3"/>
    <w:rsid w:val="00B92A03"/>
    <w:rsid w:val="00B93B59"/>
    <w:rsid w:val="00B9406A"/>
    <w:rsid w:val="00B9530A"/>
    <w:rsid w:val="00B95915"/>
    <w:rsid w:val="00BA0DE5"/>
    <w:rsid w:val="00BA2280"/>
    <w:rsid w:val="00BA2684"/>
    <w:rsid w:val="00BA2A08"/>
    <w:rsid w:val="00BA2A5C"/>
    <w:rsid w:val="00BA345B"/>
    <w:rsid w:val="00BA3947"/>
    <w:rsid w:val="00BA3E78"/>
    <w:rsid w:val="00BA54E0"/>
    <w:rsid w:val="00BA56D2"/>
    <w:rsid w:val="00BA71E4"/>
    <w:rsid w:val="00BA76E0"/>
    <w:rsid w:val="00BB1484"/>
    <w:rsid w:val="00BB20B6"/>
    <w:rsid w:val="00BB21CC"/>
    <w:rsid w:val="00BB2A25"/>
    <w:rsid w:val="00BB2FC0"/>
    <w:rsid w:val="00BB51E9"/>
    <w:rsid w:val="00BB6E39"/>
    <w:rsid w:val="00BB7107"/>
    <w:rsid w:val="00BC0FDC"/>
    <w:rsid w:val="00BC2BA9"/>
    <w:rsid w:val="00BC3053"/>
    <w:rsid w:val="00BC32EF"/>
    <w:rsid w:val="00BC3BD4"/>
    <w:rsid w:val="00BC4D2E"/>
    <w:rsid w:val="00BC5CF6"/>
    <w:rsid w:val="00BC6433"/>
    <w:rsid w:val="00BC7144"/>
    <w:rsid w:val="00BC7F7D"/>
    <w:rsid w:val="00BD27A1"/>
    <w:rsid w:val="00BD2E87"/>
    <w:rsid w:val="00BD32FB"/>
    <w:rsid w:val="00BD48AC"/>
    <w:rsid w:val="00BD4FF1"/>
    <w:rsid w:val="00BD572D"/>
    <w:rsid w:val="00BD5EE9"/>
    <w:rsid w:val="00BD5F1A"/>
    <w:rsid w:val="00BD6C46"/>
    <w:rsid w:val="00BE013D"/>
    <w:rsid w:val="00BE03E2"/>
    <w:rsid w:val="00BE1024"/>
    <w:rsid w:val="00BE115B"/>
    <w:rsid w:val="00BE1234"/>
    <w:rsid w:val="00BE2FA6"/>
    <w:rsid w:val="00BE3250"/>
    <w:rsid w:val="00BE333F"/>
    <w:rsid w:val="00BE4802"/>
    <w:rsid w:val="00BE6431"/>
    <w:rsid w:val="00BE7406"/>
    <w:rsid w:val="00BE7603"/>
    <w:rsid w:val="00BF08BA"/>
    <w:rsid w:val="00BF29BE"/>
    <w:rsid w:val="00BF2CA5"/>
    <w:rsid w:val="00BF2CB5"/>
    <w:rsid w:val="00BF3279"/>
    <w:rsid w:val="00BF5E90"/>
    <w:rsid w:val="00BF6A7A"/>
    <w:rsid w:val="00BF738B"/>
    <w:rsid w:val="00BF74C7"/>
    <w:rsid w:val="00C00051"/>
    <w:rsid w:val="00C015F1"/>
    <w:rsid w:val="00C01F33"/>
    <w:rsid w:val="00C023F7"/>
    <w:rsid w:val="00C0247F"/>
    <w:rsid w:val="00C024F0"/>
    <w:rsid w:val="00C02CC6"/>
    <w:rsid w:val="00C03C91"/>
    <w:rsid w:val="00C03F9B"/>
    <w:rsid w:val="00C040F7"/>
    <w:rsid w:val="00C044AB"/>
    <w:rsid w:val="00C04C6A"/>
    <w:rsid w:val="00C0568C"/>
    <w:rsid w:val="00C05706"/>
    <w:rsid w:val="00C05F61"/>
    <w:rsid w:val="00C06FA0"/>
    <w:rsid w:val="00C07377"/>
    <w:rsid w:val="00C077CB"/>
    <w:rsid w:val="00C10457"/>
    <w:rsid w:val="00C10478"/>
    <w:rsid w:val="00C1055D"/>
    <w:rsid w:val="00C10686"/>
    <w:rsid w:val="00C10B7C"/>
    <w:rsid w:val="00C11BDE"/>
    <w:rsid w:val="00C11BE3"/>
    <w:rsid w:val="00C12101"/>
    <w:rsid w:val="00C12107"/>
    <w:rsid w:val="00C124F9"/>
    <w:rsid w:val="00C128B2"/>
    <w:rsid w:val="00C12F36"/>
    <w:rsid w:val="00C137AA"/>
    <w:rsid w:val="00C14B7B"/>
    <w:rsid w:val="00C14D4B"/>
    <w:rsid w:val="00C154BB"/>
    <w:rsid w:val="00C166FC"/>
    <w:rsid w:val="00C16966"/>
    <w:rsid w:val="00C2053F"/>
    <w:rsid w:val="00C21CEC"/>
    <w:rsid w:val="00C2290F"/>
    <w:rsid w:val="00C24112"/>
    <w:rsid w:val="00C248E5"/>
    <w:rsid w:val="00C25A9D"/>
    <w:rsid w:val="00C25C72"/>
    <w:rsid w:val="00C268E6"/>
    <w:rsid w:val="00C279B5"/>
    <w:rsid w:val="00C27C45"/>
    <w:rsid w:val="00C305B9"/>
    <w:rsid w:val="00C31541"/>
    <w:rsid w:val="00C35764"/>
    <w:rsid w:val="00C35917"/>
    <w:rsid w:val="00C37063"/>
    <w:rsid w:val="00C3719D"/>
    <w:rsid w:val="00C37938"/>
    <w:rsid w:val="00C37A02"/>
    <w:rsid w:val="00C37CB2"/>
    <w:rsid w:val="00C40974"/>
    <w:rsid w:val="00C40D9E"/>
    <w:rsid w:val="00C435B3"/>
    <w:rsid w:val="00C4368D"/>
    <w:rsid w:val="00C4667C"/>
    <w:rsid w:val="00C473A5"/>
    <w:rsid w:val="00C52120"/>
    <w:rsid w:val="00C52124"/>
    <w:rsid w:val="00C526A0"/>
    <w:rsid w:val="00C53128"/>
    <w:rsid w:val="00C533E7"/>
    <w:rsid w:val="00C53F52"/>
    <w:rsid w:val="00C54995"/>
    <w:rsid w:val="00C549A6"/>
    <w:rsid w:val="00C54D41"/>
    <w:rsid w:val="00C559B6"/>
    <w:rsid w:val="00C562D7"/>
    <w:rsid w:val="00C5749D"/>
    <w:rsid w:val="00C57EE1"/>
    <w:rsid w:val="00C60572"/>
    <w:rsid w:val="00C606B3"/>
    <w:rsid w:val="00C60783"/>
    <w:rsid w:val="00C61499"/>
    <w:rsid w:val="00C614A9"/>
    <w:rsid w:val="00C62345"/>
    <w:rsid w:val="00C62729"/>
    <w:rsid w:val="00C64672"/>
    <w:rsid w:val="00C64840"/>
    <w:rsid w:val="00C654D1"/>
    <w:rsid w:val="00C65671"/>
    <w:rsid w:val="00C65EC6"/>
    <w:rsid w:val="00C66AA2"/>
    <w:rsid w:val="00C673A8"/>
    <w:rsid w:val="00C67CE6"/>
    <w:rsid w:val="00C70264"/>
    <w:rsid w:val="00C70667"/>
    <w:rsid w:val="00C70697"/>
    <w:rsid w:val="00C72093"/>
    <w:rsid w:val="00C72EF4"/>
    <w:rsid w:val="00C744FE"/>
    <w:rsid w:val="00C75848"/>
    <w:rsid w:val="00C75D2F"/>
    <w:rsid w:val="00C767BE"/>
    <w:rsid w:val="00C768BF"/>
    <w:rsid w:val="00C76E3C"/>
    <w:rsid w:val="00C7782F"/>
    <w:rsid w:val="00C806F9"/>
    <w:rsid w:val="00C810C4"/>
    <w:rsid w:val="00C8134D"/>
    <w:rsid w:val="00C81568"/>
    <w:rsid w:val="00C81FF9"/>
    <w:rsid w:val="00C82F01"/>
    <w:rsid w:val="00C83F7A"/>
    <w:rsid w:val="00C84621"/>
    <w:rsid w:val="00C874D4"/>
    <w:rsid w:val="00C87A42"/>
    <w:rsid w:val="00C9027A"/>
    <w:rsid w:val="00C9068E"/>
    <w:rsid w:val="00C90D51"/>
    <w:rsid w:val="00C92593"/>
    <w:rsid w:val="00C92D97"/>
    <w:rsid w:val="00C92F9E"/>
    <w:rsid w:val="00C93814"/>
    <w:rsid w:val="00C93C4B"/>
    <w:rsid w:val="00C944AB"/>
    <w:rsid w:val="00C94B80"/>
    <w:rsid w:val="00C95803"/>
    <w:rsid w:val="00C959CC"/>
    <w:rsid w:val="00C95B40"/>
    <w:rsid w:val="00C95D05"/>
    <w:rsid w:val="00C96AF6"/>
    <w:rsid w:val="00C97564"/>
    <w:rsid w:val="00C97874"/>
    <w:rsid w:val="00CA03E8"/>
    <w:rsid w:val="00CA0C6C"/>
    <w:rsid w:val="00CA1A2D"/>
    <w:rsid w:val="00CA1ED8"/>
    <w:rsid w:val="00CA318E"/>
    <w:rsid w:val="00CA3B3C"/>
    <w:rsid w:val="00CA3BAD"/>
    <w:rsid w:val="00CA4AC3"/>
    <w:rsid w:val="00CA5328"/>
    <w:rsid w:val="00CA5904"/>
    <w:rsid w:val="00CA6006"/>
    <w:rsid w:val="00CA7C13"/>
    <w:rsid w:val="00CA7FF2"/>
    <w:rsid w:val="00CB0301"/>
    <w:rsid w:val="00CB0874"/>
    <w:rsid w:val="00CB1603"/>
    <w:rsid w:val="00CB1F63"/>
    <w:rsid w:val="00CB298C"/>
    <w:rsid w:val="00CB3F8A"/>
    <w:rsid w:val="00CB50E8"/>
    <w:rsid w:val="00CB5240"/>
    <w:rsid w:val="00CB5807"/>
    <w:rsid w:val="00CB5EEC"/>
    <w:rsid w:val="00CB6783"/>
    <w:rsid w:val="00CB7170"/>
    <w:rsid w:val="00CB7500"/>
    <w:rsid w:val="00CC040E"/>
    <w:rsid w:val="00CC0CB0"/>
    <w:rsid w:val="00CC111F"/>
    <w:rsid w:val="00CC15BB"/>
    <w:rsid w:val="00CC182C"/>
    <w:rsid w:val="00CC1B6C"/>
    <w:rsid w:val="00CC1F90"/>
    <w:rsid w:val="00CC2011"/>
    <w:rsid w:val="00CC20E5"/>
    <w:rsid w:val="00CC295F"/>
    <w:rsid w:val="00CC2A03"/>
    <w:rsid w:val="00CC37CD"/>
    <w:rsid w:val="00CC3B73"/>
    <w:rsid w:val="00CC3C51"/>
    <w:rsid w:val="00CC3EA0"/>
    <w:rsid w:val="00CC4780"/>
    <w:rsid w:val="00CC51BF"/>
    <w:rsid w:val="00CC7B45"/>
    <w:rsid w:val="00CD1188"/>
    <w:rsid w:val="00CD1C46"/>
    <w:rsid w:val="00CD2606"/>
    <w:rsid w:val="00CD2702"/>
    <w:rsid w:val="00CD2ED1"/>
    <w:rsid w:val="00CD337B"/>
    <w:rsid w:val="00CD356F"/>
    <w:rsid w:val="00CD3D6C"/>
    <w:rsid w:val="00CD43A3"/>
    <w:rsid w:val="00CD51CF"/>
    <w:rsid w:val="00CD51DC"/>
    <w:rsid w:val="00CD523D"/>
    <w:rsid w:val="00CD6522"/>
    <w:rsid w:val="00CD6524"/>
    <w:rsid w:val="00CD67B0"/>
    <w:rsid w:val="00CD6F71"/>
    <w:rsid w:val="00CD73AE"/>
    <w:rsid w:val="00CE0424"/>
    <w:rsid w:val="00CE0997"/>
    <w:rsid w:val="00CE1CE0"/>
    <w:rsid w:val="00CE244A"/>
    <w:rsid w:val="00CE2F04"/>
    <w:rsid w:val="00CE46E2"/>
    <w:rsid w:val="00CE46EF"/>
    <w:rsid w:val="00CE4AF4"/>
    <w:rsid w:val="00CE55E9"/>
    <w:rsid w:val="00CE7561"/>
    <w:rsid w:val="00CF1354"/>
    <w:rsid w:val="00CF1C2D"/>
    <w:rsid w:val="00CF2A2B"/>
    <w:rsid w:val="00CF34EF"/>
    <w:rsid w:val="00CF3B1F"/>
    <w:rsid w:val="00CF3BF6"/>
    <w:rsid w:val="00CF40DE"/>
    <w:rsid w:val="00CF41C1"/>
    <w:rsid w:val="00CF4C0E"/>
    <w:rsid w:val="00CF55C6"/>
    <w:rsid w:val="00CF6199"/>
    <w:rsid w:val="00CF625B"/>
    <w:rsid w:val="00CF6424"/>
    <w:rsid w:val="00CF673F"/>
    <w:rsid w:val="00CF687E"/>
    <w:rsid w:val="00CF6D45"/>
    <w:rsid w:val="00CF73FB"/>
    <w:rsid w:val="00CF74D7"/>
    <w:rsid w:val="00D00A31"/>
    <w:rsid w:val="00D01803"/>
    <w:rsid w:val="00D01B15"/>
    <w:rsid w:val="00D02615"/>
    <w:rsid w:val="00D0349B"/>
    <w:rsid w:val="00D04024"/>
    <w:rsid w:val="00D05D75"/>
    <w:rsid w:val="00D10249"/>
    <w:rsid w:val="00D10412"/>
    <w:rsid w:val="00D115C3"/>
    <w:rsid w:val="00D11897"/>
    <w:rsid w:val="00D11954"/>
    <w:rsid w:val="00D13135"/>
    <w:rsid w:val="00D135E1"/>
    <w:rsid w:val="00D13E4E"/>
    <w:rsid w:val="00D14FBB"/>
    <w:rsid w:val="00D15545"/>
    <w:rsid w:val="00D15612"/>
    <w:rsid w:val="00D206DF"/>
    <w:rsid w:val="00D229F7"/>
    <w:rsid w:val="00D23318"/>
    <w:rsid w:val="00D239A7"/>
    <w:rsid w:val="00D23BBF"/>
    <w:rsid w:val="00D23F47"/>
    <w:rsid w:val="00D23F7A"/>
    <w:rsid w:val="00D245C7"/>
    <w:rsid w:val="00D24B23"/>
    <w:rsid w:val="00D26A98"/>
    <w:rsid w:val="00D26EC8"/>
    <w:rsid w:val="00D27BEC"/>
    <w:rsid w:val="00D302FA"/>
    <w:rsid w:val="00D30F37"/>
    <w:rsid w:val="00D310D0"/>
    <w:rsid w:val="00D3233E"/>
    <w:rsid w:val="00D336DF"/>
    <w:rsid w:val="00D35214"/>
    <w:rsid w:val="00D35DEE"/>
    <w:rsid w:val="00D36E71"/>
    <w:rsid w:val="00D36EF4"/>
    <w:rsid w:val="00D37D87"/>
    <w:rsid w:val="00D40B33"/>
    <w:rsid w:val="00D410C6"/>
    <w:rsid w:val="00D41FE8"/>
    <w:rsid w:val="00D429F5"/>
    <w:rsid w:val="00D4318F"/>
    <w:rsid w:val="00D438BF"/>
    <w:rsid w:val="00D43998"/>
    <w:rsid w:val="00D440F8"/>
    <w:rsid w:val="00D44E22"/>
    <w:rsid w:val="00D45120"/>
    <w:rsid w:val="00D4612D"/>
    <w:rsid w:val="00D46CCE"/>
    <w:rsid w:val="00D471D7"/>
    <w:rsid w:val="00D47F78"/>
    <w:rsid w:val="00D507D8"/>
    <w:rsid w:val="00D53E67"/>
    <w:rsid w:val="00D546FF"/>
    <w:rsid w:val="00D55AD5"/>
    <w:rsid w:val="00D565A9"/>
    <w:rsid w:val="00D56AA8"/>
    <w:rsid w:val="00D5708F"/>
    <w:rsid w:val="00D576CA"/>
    <w:rsid w:val="00D61AF5"/>
    <w:rsid w:val="00D62849"/>
    <w:rsid w:val="00D62C83"/>
    <w:rsid w:val="00D63024"/>
    <w:rsid w:val="00D6378D"/>
    <w:rsid w:val="00D6401E"/>
    <w:rsid w:val="00D652B5"/>
    <w:rsid w:val="00D66155"/>
    <w:rsid w:val="00D6662B"/>
    <w:rsid w:val="00D668E2"/>
    <w:rsid w:val="00D67637"/>
    <w:rsid w:val="00D70801"/>
    <w:rsid w:val="00D708B0"/>
    <w:rsid w:val="00D708D6"/>
    <w:rsid w:val="00D728EC"/>
    <w:rsid w:val="00D752CA"/>
    <w:rsid w:val="00D760B9"/>
    <w:rsid w:val="00D77B1D"/>
    <w:rsid w:val="00D8021F"/>
    <w:rsid w:val="00D80383"/>
    <w:rsid w:val="00D820CA"/>
    <w:rsid w:val="00D823C6"/>
    <w:rsid w:val="00D8256E"/>
    <w:rsid w:val="00D8327F"/>
    <w:rsid w:val="00D85418"/>
    <w:rsid w:val="00D8622F"/>
    <w:rsid w:val="00D86CA3"/>
    <w:rsid w:val="00D871CE"/>
    <w:rsid w:val="00D9133C"/>
    <w:rsid w:val="00D9139A"/>
    <w:rsid w:val="00D9155E"/>
    <w:rsid w:val="00D9196D"/>
    <w:rsid w:val="00D922BD"/>
    <w:rsid w:val="00D92982"/>
    <w:rsid w:val="00D93242"/>
    <w:rsid w:val="00D93EF6"/>
    <w:rsid w:val="00D93F32"/>
    <w:rsid w:val="00D947DA"/>
    <w:rsid w:val="00D95348"/>
    <w:rsid w:val="00D95461"/>
    <w:rsid w:val="00D95894"/>
    <w:rsid w:val="00D95B17"/>
    <w:rsid w:val="00DA0BB4"/>
    <w:rsid w:val="00DA0DB1"/>
    <w:rsid w:val="00DA305E"/>
    <w:rsid w:val="00DA5417"/>
    <w:rsid w:val="00DA56E8"/>
    <w:rsid w:val="00DA582E"/>
    <w:rsid w:val="00DB033D"/>
    <w:rsid w:val="00DB06BD"/>
    <w:rsid w:val="00DB0A9F"/>
    <w:rsid w:val="00DB23A7"/>
    <w:rsid w:val="00DB2D3F"/>
    <w:rsid w:val="00DB377D"/>
    <w:rsid w:val="00DB46BF"/>
    <w:rsid w:val="00DB652B"/>
    <w:rsid w:val="00DB7B88"/>
    <w:rsid w:val="00DB7FCC"/>
    <w:rsid w:val="00DC0BBD"/>
    <w:rsid w:val="00DC0F20"/>
    <w:rsid w:val="00DC2D36"/>
    <w:rsid w:val="00DC3C06"/>
    <w:rsid w:val="00DC403B"/>
    <w:rsid w:val="00DC475D"/>
    <w:rsid w:val="00DC4D74"/>
    <w:rsid w:val="00DC53EF"/>
    <w:rsid w:val="00DC5C3D"/>
    <w:rsid w:val="00DC5FEB"/>
    <w:rsid w:val="00DC6B21"/>
    <w:rsid w:val="00DC6F68"/>
    <w:rsid w:val="00DC7173"/>
    <w:rsid w:val="00DD03B7"/>
    <w:rsid w:val="00DD210A"/>
    <w:rsid w:val="00DD3038"/>
    <w:rsid w:val="00DD3C8F"/>
    <w:rsid w:val="00DD3CCB"/>
    <w:rsid w:val="00DD4F58"/>
    <w:rsid w:val="00DD567E"/>
    <w:rsid w:val="00DD587A"/>
    <w:rsid w:val="00DD6808"/>
    <w:rsid w:val="00DD6C7A"/>
    <w:rsid w:val="00DE147B"/>
    <w:rsid w:val="00DE5608"/>
    <w:rsid w:val="00DE58D0"/>
    <w:rsid w:val="00DE654F"/>
    <w:rsid w:val="00DE6AB6"/>
    <w:rsid w:val="00DF0ADE"/>
    <w:rsid w:val="00DF0B6E"/>
    <w:rsid w:val="00DF15E0"/>
    <w:rsid w:val="00DF16B6"/>
    <w:rsid w:val="00DF30A5"/>
    <w:rsid w:val="00DF37A0"/>
    <w:rsid w:val="00DF449E"/>
    <w:rsid w:val="00DF54D0"/>
    <w:rsid w:val="00DF678F"/>
    <w:rsid w:val="00DF6C40"/>
    <w:rsid w:val="00DF7389"/>
    <w:rsid w:val="00E0076B"/>
    <w:rsid w:val="00E00C75"/>
    <w:rsid w:val="00E01C96"/>
    <w:rsid w:val="00E03302"/>
    <w:rsid w:val="00E03936"/>
    <w:rsid w:val="00E03CD5"/>
    <w:rsid w:val="00E06316"/>
    <w:rsid w:val="00E0661F"/>
    <w:rsid w:val="00E10ACB"/>
    <w:rsid w:val="00E10FA8"/>
    <w:rsid w:val="00E110E7"/>
    <w:rsid w:val="00E111EE"/>
    <w:rsid w:val="00E11B20"/>
    <w:rsid w:val="00E12ABB"/>
    <w:rsid w:val="00E13643"/>
    <w:rsid w:val="00E15017"/>
    <w:rsid w:val="00E1518F"/>
    <w:rsid w:val="00E15A40"/>
    <w:rsid w:val="00E16556"/>
    <w:rsid w:val="00E16867"/>
    <w:rsid w:val="00E17FA2"/>
    <w:rsid w:val="00E22330"/>
    <w:rsid w:val="00E257C8"/>
    <w:rsid w:val="00E26D40"/>
    <w:rsid w:val="00E300D4"/>
    <w:rsid w:val="00E30B5A"/>
    <w:rsid w:val="00E30BB3"/>
    <w:rsid w:val="00E3123D"/>
    <w:rsid w:val="00E3142E"/>
    <w:rsid w:val="00E31461"/>
    <w:rsid w:val="00E31C06"/>
    <w:rsid w:val="00E31D43"/>
    <w:rsid w:val="00E32608"/>
    <w:rsid w:val="00E329FD"/>
    <w:rsid w:val="00E3371E"/>
    <w:rsid w:val="00E33902"/>
    <w:rsid w:val="00E34188"/>
    <w:rsid w:val="00E34B6E"/>
    <w:rsid w:val="00E3549B"/>
    <w:rsid w:val="00E35559"/>
    <w:rsid w:val="00E35AA1"/>
    <w:rsid w:val="00E35DB9"/>
    <w:rsid w:val="00E3656A"/>
    <w:rsid w:val="00E3723A"/>
    <w:rsid w:val="00E37860"/>
    <w:rsid w:val="00E402DE"/>
    <w:rsid w:val="00E40D8E"/>
    <w:rsid w:val="00E413A5"/>
    <w:rsid w:val="00E41F04"/>
    <w:rsid w:val="00E429A8"/>
    <w:rsid w:val="00E433C9"/>
    <w:rsid w:val="00E44630"/>
    <w:rsid w:val="00E446F1"/>
    <w:rsid w:val="00E4479F"/>
    <w:rsid w:val="00E4629A"/>
    <w:rsid w:val="00E46886"/>
    <w:rsid w:val="00E479CE"/>
    <w:rsid w:val="00E47AEF"/>
    <w:rsid w:val="00E51399"/>
    <w:rsid w:val="00E52511"/>
    <w:rsid w:val="00E527C1"/>
    <w:rsid w:val="00E531E7"/>
    <w:rsid w:val="00E53B75"/>
    <w:rsid w:val="00E54E3B"/>
    <w:rsid w:val="00E54EA5"/>
    <w:rsid w:val="00E55225"/>
    <w:rsid w:val="00E557A0"/>
    <w:rsid w:val="00E55968"/>
    <w:rsid w:val="00E564E7"/>
    <w:rsid w:val="00E570A9"/>
    <w:rsid w:val="00E57565"/>
    <w:rsid w:val="00E57D15"/>
    <w:rsid w:val="00E600AD"/>
    <w:rsid w:val="00E60376"/>
    <w:rsid w:val="00E621FA"/>
    <w:rsid w:val="00E62AF7"/>
    <w:rsid w:val="00E62DE8"/>
    <w:rsid w:val="00E63838"/>
    <w:rsid w:val="00E64434"/>
    <w:rsid w:val="00E64E01"/>
    <w:rsid w:val="00E65E27"/>
    <w:rsid w:val="00E66143"/>
    <w:rsid w:val="00E66EEB"/>
    <w:rsid w:val="00E67137"/>
    <w:rsid w:val="00E671CF"/>
    <w:rsid w:val="00E67C4C"/>
    <w:rsid w:val="00E67C51"/>
    <w:rsid w:val="00E701C6"/>
    <w:rsid w:val="00E701E6"/>
    <w:rsid w:val="00E71E4F"/>
    <w:rsid w:val="00E721AD"/>
    <w:rsid w:val="00E72EFC"/>
    <w:rsid w:val="00E7493E"/>
    <w:rsid w:val="00E758EC"/>
    <w:rsid w:val="00E76763"/>
    <w:rsid w:val="00E76A50"/>
    <w:rsid w:val="00E76C92"/>
    <w:rsid w:val="00E7757D"/>
    <w:rsid w:val="00E77DC1"/>
    <w:rsid w:val="00E80124"/>
    <w:rsid w:val="00E80D40"/>
    <w:rsid w:val="00E8234C"/>
    <w:rsid w:val="00E8267D"/>
    <w:rsid w:val="00E82801"/>
    <w:rsid w:val="00E83944"/>
    <w:rsid w:val="00E83AA9"/>
    <w:rsid w:val="00E83D4F"/>
    <w:rsid w:val="00E8586C"/>
    <w:rsid w:val="00E85928"/>
    <w:rsid w:val="00E86D38"/>
    <w:rsid w:val="00E86D5D"/>
    <w:rsid w:val="00E87382"/>
    <w:rsid w:val="00E87822"/>
    <w:rsid w:val="00E87C75"/>
    <w:rsid w:val="00E90395"/>
    <w:rsid w:val="00E90C5D"/>
    <w:rsid w:val="00E90E49"/>
    <w:rsid w:val="00E917F9"/>
    <w:rsid w:val="00E920CC"/>
    <w:rsid w:val="00E9291C"/>
    <w:rsid w:val="00E93C38"/>
    <w:rsid w:val="00E93FFE"/>
    <w:rsid w:val="00E94CFE"/>
    <w:rsid w:val="00E94F8A"/>
    <w:rsid w:val="00E95D1C"/>
    <w:rsid w:val="00E96B51"/>
    <w:rsid w:val="00E979C0"/>
    <w:rsid w:val="00EA1520"/>
    <w:rsid w:val="00EA1C06"/>
    <w:rsid w:val="00EA20A4"/>
    <w:rsid w:val="00EA23AF"/>
    <w:rsid w:val="00EA400D"/>
    <w:rsid w:val="00EA450C"/>
    <w:rsid w:val="00EA535D"/>
    <w:rsid w:val="00EA5669"/>
    <w:rsid w:val="00EA7A41"/>
    <w:rsid w:val="00EB0096"/>
    <w:rsid w:val="00EB077B"/>
    <w:rsid w:val="00EB0962"/>
    <w:rsid w:val="00EB1033"/>
    <w:rsid w:val="00EB1A89"/>
    <w:rsid w:val="00EB264C"/>
    <w:rsid w:val="00EB2E8C"/>
    <w:rsid w:val="00EB2FFC"/>
    <w:rsid w:val="00EB4EA2"/>
    <w:rsid w:val="00EB6F23"/>
    <w:rsid w:val="00EC06E9"/>
    <w:rsid w:val="00EC0C4F"/>
    <w:rsid w:val="00EC0E19"/>
    <w:rsid w:val="00EC223B"/>
    <w:rsid w:val="00EC24D5"/>
    <w:rsid w:val="00EC27C6"/>
    <w:rsid w:val="00EC3667"/>
    <w:rsid w:val="00EC3A1A"/>
    <w:rsid w:val="00EC3E5E"/>
    <w:rsid w:val="00EC3F2D"/>
    <w:rsid w:val="00EC4207"/>
    <w:rsid w:val="00EC4D86"/>
    <w:rsid w:val="00EC55F2"/>
    <w:rsid w:val="00EC5653"/>
    <w:rsid w:val="00EC5798"/>
    <w:rsid w:val="00EC6573"/>
    <w:rsid w:val="00EC6DB3"/>
    <w:rsid w:val="00EC6EE4"/>
    <w:rsid w:val="00EC71CE"/>
    <w:rsid w:val="00EC7569"/>
    <w:rsid w:val="00ED012B"/>
    <w:rsid w:val="00ED0DAB"/>
    <w:rsid w:val="00ED1006"/>
    <w:rsid w:val="00ED18F9"/>
    <w:rsid w:val="00ED1C33"/>
    <w:rsid w:val="00ED1F53"/>
    <w:rsid w:val="00ED26CC"/>
    <w:rsid w:val="00ED2715"/>
    <w:rsid w:val="00ED2B92"/>
    <w:rsid w:val="00ED3357"/>
    <w:rsid w:val="00ED359A"/>
    <w:rsid w:val="00ED36AD"/>
    <w:rsid w:val="00ED3AB1"/>
    <w:rsid w:val="00ED420C"/>
    <w:rsid w:val="00ED42E8"/>
    <w:rsid w:val="00ED4D8B"/>
    <w:rsid w:val="00ED514A"/>
    <w:rsid w:val="00ED53CA"/>
    <w:rsid w:val="00ED6C82"/>
    <w:rsid w:val="00ED7876"/>
    <w:rsid w:val="00EE204F"/>
    <w:rsid w:val="00EE300D"/>
    <w:rsid w:val="00EE4494"/>
    <w:rsid w:val="00EE51E8"/>
    <w:rsid w:val="00EE6459"/>
    <w:rsid w:val="00EF088C"/>
    <w:rsid w:val="00EF0CA2"/>
    <w:rsid w:val="00EF18FE"/>
    <w:rsid w:val="00EF1C2C"/>
    <w:rsid w:val="00EF2588"/>
    <w:rsid w:val="00EF37E7"/>
    <w:rsid w:val="00EF48C0"/>
    <w:rsid w:val="00EF5787"/>
    <w:rsid w:val="00EF60D0"/>
    <w:rsid w:val="00EF6A75"/>
    <w:rsid w:val="00EF7FD0"/>
    <w:rsid w:val="00F00B17"/>
    <w:rsid w:val="00F015D1"/>
    <w:rsid w:val="00F01B20"/>
    <w:rsid w:val="00F050D1"/>
    <w:rsid w:val="00F0528D"/>
    <w:rsid w:val="00F0579C"/>
    <w:rsid w:val="00F05B37"/>
    <w:rsid w:val="00F063CF"/>
    <w:rsid w:val="00F06C67"/>
    <w:rsid w:val="00F06DFD"/>
    <w:rsid w:val="00F071D1"/>
    <w:rsid w:val="00F07533"/>
    <w:rsid w:val="00F07A40"/>
    <w:rsid w:val="00F10629"/>
    <w:rsid w:val="00F10890"/>
    <w:rsid w:val="00F117A1"/>
    <w:rsid w:val="00F127E0"/>
    <w:rsid w:val="00F13D1A"/>
    <w:rsid w:val="00F14461"/>
    <w:rsid w:val="00F149DA"/>
    <w:rsid w:val="00F14B80"/>
    <w:rsid w:val="00F15F85"/>
    <w:rsid w:val="00F15FA5"/>
    <w:rsid w:val="00F16BF2"/>
    <w:rsid w:val="00F17B49"/>
    <w:rsid w:val="00F209B7"/>
    <w:rsid w:val="00F20F5C"/>
    <w:rsid w:val="00F23718"/>
    <w:rsid w:val="00F2376F"/>
    <w:rsid w:val="00F243D8"/>
    <w:rsid w:val="00F2470F"/>
    <w:rsid w:val="00F25FDD"/>
    <w:rsid w:val="00F26046"/>
    <w:rsid w:val="00F267E5"/>
    <w:rsid w:val="00F2689D"/>
    <w:rsid w:val="00F27A21"/>
    <w:rsid w:val="00F27A73"/>
    <w:rsid w:val="00F30828"/>
    <w:rsid w:val="00F30950"/>
    <w:rsid w:val="00F30D92"/>
    <w:rsid w:val="00F313D6"/>
    <w:rsid w:val="00F31CA4"/>
    <w:rsid w:val="00F31DEB"/>
    <w:rsid w:val="00F3256E"/>
    <w:rsid w:val="00F34C91"/>
    <w:rsid w:val="00F3526B"/>
    <w:rsid w:val="00F35E15"/>
    <w:rsid w:val="00F37517"/>
    <w:rsid w:val="00F40F0C"/>
    <w:rsid w:val="00F4170C"/>
    <w:rsid w:val="00F4204D"/>
    <w:rsid w:val="00F44D67"/>
    <w:rsid w:val="00F4766C"/>
    <w:rsid w:val="00F5003E"/>
    <w:rsid w:val="00F5060E"/>
    <w:rsid w:val="00F507D1"/>
    <w:rsid w:val="00F519CE"/>
    <w:rsid w:val="00F51ADA"/>
    <w:rsid w:val="00F53177"/>
    <w:rsid w:val="00F54CC5"/>
    <w:rsid w:val="00F550E5"/>
    <w:rsid w:val="00F55193"/>
    <w:rsid w:val="00F55E66"/>
    <w:rsid w:val="00F56FA5"/>
    <w:rsid w:val="00F5743D"/>
    <w:rsid w:val="00F60197"/>
    <w:rsid w:val="00F60203"/>
    <w:rsid w:val="00F607C5"/>
    <w:rsid w:val="00F60860"/>
    <w:rsid w:val="00F609F4"/>
    <w:rsid w:val="00F60DEA"/>
    <w:rsid w:val="00F618EC"/>
    <w:rsid w:val="00F6302A"/>
    <w:rsid w:val="00F6364A"/>
    <w:rsid w:val="00F63950"/>
    <w:rsid w:val="00F63ED6"/>
    <w:rsid w:val="00F643AD"/>
    <w:rsid w:val="00F64C2B"/>
    <w:rsid w:val="00F64F25"/>
    <w:rsid w:val="00F651BE"/>
    <w:rsid w:val="00F65484"/>
    <w:rsid w:val="00F65A66"/>
    <w:rsid w:val="00F65ADC"/>
    <w:rsid w:val="00F663A2"/>
    <w:rsid w:val="00F6661E"/>
    <w:rsid w:val="00F67F53"/>
    <w:rsid w:val="00F70375"/>
    <w:rsid w:val="00F703BE"/>
    <w:rsid w:val="00F708F0"/>
    <w:rsid w:val="00F71886"/>
    <w:rsid w:val="00F71BF0"/>
    <w:rsid w:val="00F71E1E"/>
    <w:rsid w:val="00F71F69"/>
    <w:rsid w:val="00F720DE"/>
    <w:rsid w:val="00F72B72"/>
    <w:rsid w:val="00F7469D"/>
    <w:rsid w:val="00F74BB9"/>
    <w:rsid w:val="00F75582"/>
    <w:rsid w:val="00F75DEA"/>
    <w:rsid w:val="00F767A0"/>
    <w:rsid w:val="00F76EFA"/>
    <w:rsid w:val="00F77C07"/>
    <w:rsid w:val="00F77CA1"/>
    <w:rsid w:val="00F804BE"/>
    <w:rsid w:val="00F80C0C"/>
    <w:rsid w:val="00F80EE7"/>
    <w:rsid w:val="00F817CE"/>
    <w:rsid w:val="00F824FC"/>
    <w:rsid w:val="00F82C6C"/>
    <w:rsid w:val="00F8456C"/>
    <w:rsid w:val="00F84E5D"/>
    <w:rsid w:val="00F859D8"/>
    <w:rsid w:val="00F860D4"/>
    <w:rsid w:val="00F860DC"/>
    <w:rsid w:val="00F868F5"/>
    <w:rsid w:val="00F9056A"/>
    <w:rsid w:val="00F908D6"/>
    <w:rsid w:val="00F90AAE"/>
    <w:rsid w:val="00F90F36"/>
    <w:rsid w:val="00F90F8D"/>
    <w:rsid w:val="00F912C2"/>
    <w:rsid w:val="00F921EB"/>
    <w:rsid w:val="00F9251D"/>
    <w:rsid w:val="00F92782"/>
    <w:rsid w:val="00F92783"/>
    <w:rsid w:val="00F92EA5"/>
    <w:rsid w:val="00F93AA9"/>
    <w:rsid w:val="00F93B1C"/>
    <w:rsid w:val="00F93B50"/>
    <w:rsid w:val="00F95154"/>
    <w:rsid w:val="00F95AEB"/>
    <w:rsid w:val="00F966C6"/>
    <w:rsid w:val="00F96985"/>
    <w:rsid w:val="00F97838"/>
    <w:rsid w:val="00FA042E"/>
    <w:rsid w:val="00FA04D7"/>
    <w:rsid w:val="00FA1950"/>
    <w:rsid w:val="00FA204E"/>
    <w:rsid w:val="00FA2BB3"/>
    <w:rsid w:val="00FA3A26"/>
    <w:rsid w:val="00FA47EE"/>
    <w:rsid w:val="00FA4C8F"/>
    <w:rsid w:val="00FA4E3F"/>
    <w:rsid w:val="00FA5024"/>
    <w:rsid w:val="00FA5261"/>
    <w:rsid w:val="00FA540A"/>
    <w:rsid w:val="00FA6FFD"/>
    <w:rsid w:val="00FA7904"/>
    <w:rsid w:val="00FB0819"/>
    <w:rsid w:val="00FB0D81"/>
    <w:rsid w:val="00FB4C80"/>
    <w:rsid w:val="00FB5B84"/>
    <w:rsid w:val="00FB5E85"/>
    <w:rsid w:val="00FB67E0"/>
    <w:rsid w:val="00FB6A6A"/>
    <w:rsid w:val="00FB7AB2"/>
    <w:rsid w:val="00FB7E48"/>
    <w:rsid w:val="00FC00B6"/>
    <w:rsid w:val="00FC0D5C"/>
    <w:rsid w:val="00FC2E96"/>
    <w:rsid w:val="00FC31DF"/>
    <w:rsid w:val="00FC357F"/>
    <w:rsid w:val="00FC36B9"/>
    <w:rsid w:val="00FC3FA5"/>
    <w:rsid w:val="00FC467E"/>
    <w:rsid w:val="00FC6904"/>
    <w:rsid w:val="00FC7429"/>
    <w:rsid w:val="00FD07F6"/>
    <w:rsid w:val="00FD113F"/>
    <w:rsid w:val="00FD11CD"/>
    <w:rsid w:val="00FD1EC8"/>
    <w:rsid w:val="00FD37AD"/>
    <w:rsid w:val="00FD47ED"/>
    <w:rsid w:val="00FD6789"/>
    <w:rsid w:val="00FD6DBE"/>
    <w:rsid w:val="00FD7331"/>
    <w:rsid w:val="00FD74DB"/>
    <w:rsid w:val="00FD7660"/>
    <w:rsid w:val="00FD7EE7"/>
    <w:rsid w:val="00FE0655"/>
    <w:rsid w:val="00FE1A56"/>
    <w:rsid w:val="00FE1F82"/>
    <w:rsid w:val="00FE200E"/>
    <w:rsid w:val="00FE2365"/>
    <w:rsid w:val="00FE3547"/>
    <w:rsid w:val="00FE37D7"/>
    <w:rsid w:val="00FE41E6"/>
    <w:rsid w:val="00FE45F2"/>
    <w:rsid w:val="00FE4C7B"/>
    <w:rsid w:val="00FE5AC3"/>
    <w:rsid w:val="00FE631C"/>
    <w:rsid w:val="00FE7005"/>
    <w:rsid w:val="00FE702E"/>
    <w:rsid w:val="00FE7336"/>
    <w:rsid w:val="00FE756E"/>
    <w:rsid w:val="00FE787C"/>
    <w:rsid w:val="00FF0704"/>
    <w:rsid w:val="00FF1687"/>
    <w:rsid w:val="00FF2B40"/>
    <w:rsid w:val="00FF30FB"/>
    <w:rsid w:val="00FF3471"/>
    <w:rsid w:val="00FF4072"/>
    <w:rsid w:val="00FF45A5"/>
    <w:rsid w:val="00FF5247"/>
    <w:rsid w:val="00FF53DF"/>
    <w:rsid w:val="00FF58A8"/>
    <w:rsid w:val="00FF5AE3"/>
    <w:rsid w:val="00FF5BBA"/>
    <w:rsid w:val="00FF5C91"/>
    <w:rsid w:val="00FF77B8"/>
    <w:rsid w:val="7A58698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24EE303"/>
  <w15:chartTrackingRefBased/>
  <w15:docId w15:val="{4A7F1242-EFD7-448D-BD29-5B93B3F32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0E2E0F"/>
    <w:rPr>
      <w:rFonts w:ascii="Times New Roman" w:hAnsi="Times New Roman"/>
      <w:lang w:eastAsia="ja-JP"/>
    </w:rPr>
  </w:style>
  <w:style w:type="paragraph" w:customStyle="1" w:styleId="maintext">
    <w:name w:val="main text"/>
    <w:basedOn w:val="Normal"/>
    <w:link w:val="maintextChar"/>
    <w:qFormat/>
    <w:rsid w:val="009159D8"/>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159D8"/>
    <w:rPr>
      <w:rFonts w:ascii="Times New Roman" w:eastAsia="Malgun Gothic" w:hAnsi="Times New Roman" w:cs="Batang"/>
      <w:lang w:eastAsia="ko-KR"/>
    </w:rPr>
  </w:style>
  <w:style w:type="paragraph" w:customStyle="1" w:styleId="IvDbodytext">
    <w:name w:val="IvD bodytext"/>
    <w:basedOn w:val="BodyText"/>
    <w:link w:val="IvDbodytextChar"/>
    <w:qFormat/>
    <w:rsid w:val="001223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22338"/>
    <w:rPr>
      <w:rFonts w:ascii="Arial" w:hAnsi="Arial"/>
      <w:spacing w:val="2"/>
      <w:lang w:val="en-US" w:eastAsia="en-US"/>
    </w:rPr>
  </w:style>
  <w:style w:type="character" w:customStyle="1" w:styleId="eop">
    <w:name w:val="eop"/>
    <w:basedOn w:val="DefaultParagraphFont"/>
    <w:rsid w:val="00122338"/>
  </w:style>
  <w:style w:type="paragraph" w:customStyle="1" w:styleId="Agreement">
    <w:name w:val="Agreement"/>
    <w:basedOn w:val="Normal"/>
    <w:next w:val="Doc-text2"/>
    <w:uiPriority w:val="99"/>
    <w:qFormat/>
    <w:rsid w:val="00A00286"/>
    <w:pPr>
      <w:numPr>
        <w:numId w:val="34"/>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styleId="Mention">
    <w:name w:val="Mention"/>
    <w:basedOn w:val="DefaultParagraphFont"/>
    <w:uiPriority w:val="99"/>
    <w:unhideWhenUsed/>
    <w:rsid w:val="000F2D35"/>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
    <w:link w:val="Caption"/>
    <w:qFormat/>
    <w:locked/>
    <w:rsid w:val="000E70B3"/>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117449">
      <w:bodyDiv w:val="1"/>
      <w:marLeft w:val="0"/>
      <w:marRight w:val="0"/>
      <w:marTop w:val="0"/>
      <w:marBottom w:val="0"/>
      <w:divBdr>
        <w:top w:val="none" w:sz="0" w:space="0" w:color="auto"/>
        <w:left w:val="none" w:sz="0" w:space="0" w:color="auto"/>
        <w:bottom w:val="none" w:sz="0" w:space="0" w:color="auto"/>
        <w:right w:val="none" w:sz="0" w:space="0" w:color="auto"/>
      </w:divBdr>
    </w:div>
    <w:div w:id="954026154">
      <w:bodyDiv w:val="1"/>
      <w:marLeft w:val="0"/>
      <w:marRight w:val="0"/>
      <w:marTop w:val="0"/>
      <w:marBottom w:val="0"/>
      <w:divBdr>
        <w:top w:val="none" w:sz="0" w:space="0" w:color="auto"/>
        <w:left w:val="none" w:sz="0" w:space="0" w:color="auto"/>
        <w:bottom w:val="none" w:sz="0" w:space="0" w:color="auto"/>
        <w:right w:val="none" w:sz="0" w:space="0" w:color="auto"/>
      </w:divBdr>
    </w:div>
    <w:div w:id="1119180283">
      <w:bodyDiv w:val="1"/>
      <w:marLeft w:val="0"/>
      <w:marRight w:val="0"/>
      <w:marTop w:val="0"/>
      <w:marBottom w:val="0"/>
      <w:divBdr>
        <w:top w:val="none" w:sz="0" w:space="0" w:color="auto"/>
        <w:left w:val="none" w:sz="0" w:space="0" w:color="auto"/>
        <w:bottom w:val="none" w:sz="0" w:space="0" w:color="auto"/>
        <w:right w:val="none" w:sz="0" w:space="0" w:color="auto"/>
      </w:divBdr>
    </w:div>
    <w:div w:id="1234002691">
      <w:bodyDiv w:val="1"/>
      <w:marLeft w:val="0"/>
      <w:marRight w:val="0"/>
      <w:marTop w:val="0"/>
      <w:marBottom w:val="0"/>
      <w:divBdr>
        <w:top w:val="none" w:sz="0" w:space="0" w:color="auto"/>
        <w:left w:val="none" w:sz="0" w:space="0" w:color="auto"/>
        <w:bottom w:val="none" w:sz="0" w:space="0" w:color="auto"/>
        <w:right w:val="none" w:sz="0" w:space="0" w:color="auto"/>
      </w:divBdr>
    </w:div>
    <w:div w:id="1398557074">
      <w:bodyDiv w:val="1"/>
      <w:marLeft w:val="0"/>
      <w:marRight w:val="0"/>
      <w:marTop w:val="0"/>
      <w:marBottom w:val="0"/>
      <w:divBdr>
        <w:top w:val="none" w:sz="0" w:space="0" w:color="auto"/>
        <w:left w:val="none" w:sz="0" w:space="0" w:color="auto"/>
        <w:bottom w:val="none" w:sz="0" w:space="0" w:color="auto"/>
        <w:right w:val="none" w:sz="0" w:space="0" w:color="auto"/>
      </w:divBdr>
    </w:div>
    <w:div w:id="1608123605">
      <w:bodyDiv w:val="1"/>
      <w:marLeft w:val="0"/>
      <w:marRight w:val="0"/>
      <w:marTop w:val="0"/>
      <w:marBottom w:val="0"/>
      <w:divBdr>
        <w:top w:val="none" w:sz="0" w:space="0" w:color="auto"/>
        <w:left w:val="none" w:sz="0" w:space="0" w:color="auto"/>
        <w:bottom w:val="none" w:sz="0" w:space="0" w:color="auto"/>
        <w:right w:val="none" w:sz="0" w:space="0" w:color="auto"/>
      </w:divBdr>
    </w:div>
    <w:div w:id="1706521125">
      <w:bodyDiv w:val="1"/>
      <w:marLeft w:val="0"/>
      <w:marRight w:val="0"/>
      <w:marTop w:val="0"/>
      <w:marBottom w:val="0"/>
      <w:divBdr>
        <w:top w:val="none" w:sz="0" w:space="0" w:color="auto"/>
        <w:left w:val="none" w:sz="0" w:space="0" w:color="auto"/>
        <w:bottom w:val="none" w:sz="0" w:space="0" w:color="auto"/>
        <w:right w:val="none" w:sz="0" w:space="0" w:color="auto"/>
      </w:divBdr>
    </w:div>
    <w:div w:id="1846357648">
      <w:bodyDiv w:val="1"/>
      <w:marLeft w:val="0"/>
      <w:marRight w:val="0"/>
      <w:marTop w:val="0"/>
      <w:marBottom w:val="0"/>
      <w:divBdr>
        <w:top w:val="none" w:sz="0" w:space="0" w:color="auto"/>
        <w:left w:val="none" w:sz="0" w:space="0" w:color="auto"/>
        <w:bottom w:val="none" w:sz="0" w:space="0" w:color="auto"/>
        <w:right w:val="none" w:sz="0" w:space="0" w:color="auto"/>
      </w:divBdr>
    </w:div>
    <w:div w:id="2146771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E2B370BE-A279-45D0-B901-1D044AE79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CB0388-4CE3-4619-BE1B-9A85FB734A31}">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3634</TotalTime>
  <Pages>4</Pages>
  <Words>1593</Words>
  <Characters>8446</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10019</CharactersWithSpaces>
  <SharedDoc>false</SharedDoc>
  <HLinks>
    <vt:vector size="132" baseType="variant">
      <vt:variant>
        <vt:i4>1048630</vt:i4>
      </vt:variant>
      <vt:variant>
        <vt:i4>113</vt:i4>
      </vt:variant>
      <vt:variant>
        <vt:i4>0</vt:i4>
      </vt:variant>
      <vt:variant>
        <vt:i4>5</vt:i4>
      </vt:variant>
      <vt:variant>
        <vt:lpwstr/>
      </vt:variant>
      <vt:variant>
        <vt:lpwstr>_Toc71284678</vt:lpwstr>
      </vt:variant>
      <vt:variant>
        <vt:i4>2031670</vt:i4>
      </vt:variant>
      <vt:variant>
        <vt:i4>110</vt:i4>
      </vt:variant>
      <vt:variant>
        <vt:i4>0</vt:i4>
      </vt:variant>
      <vt:variant>
        <vt:i4>5</vt:i4>
      </vt:variant>
      <vt:variant>
        <vt:lpwstr/>
      </vt:variant>
      <vt:variant>
        <vt:lpwstr>_Toc71284677</vt:lpwstr>
      </vt:variant>
      <vt:variant>
        <vt:i4>1966134</vt:i4>
      </vt:variant>
      <vt:variant>
        <vt:i4>107</vt:i4>
      </vt:variant>
      <vt:variant>
        <vt:i4>0</vt:i4>
      </vt:variant>
      <vt:variant>
        <vt:i4>5</vt:i4>
      </vt:variant>
      <vt:variant>
        <vt:lpwstr/>
      </vt:variant>
      <vt:variant>
        <vt:lpwstr>_Toc71284676</vt:lpwstr>
      </vt:variant>
      <vt:variant>
        <vt:i4>1900598</vt:i4>
      </vt:variant>
      <vt:variant>
        <vt:i4>104</vt:i4>
      </vt:variant>
      <vt:variant>
        <vt:i4>0</vt:i4>
      </vt:variant>
      <vt:variant>
        <vt:i4>5</vt:i4>
      </vt:variant>
      <vt:variant>
        <vt:lpwstr/>
      </vt:variant>
      <vt:variant>
        <vt:lpwstr>_Toc71284675</vt:lpwstr>
      </vt:variant>
      <vt:variant>
        <vt:i4>1835062</vt:i4>
      </vt:variant>
      <vt:variant>
        <vt:i4>101</vt:i4>
      </vt:variant>
      <vt:variant>
        <vt:i4>0</vt:i4>
      </vt:variant>
      <vt:variant>
        <vt:i4>5</vt:i4>
      </vt:variant>
      <vt:variant>
        <vt:lpwstr/>
      </vt:variant>
      <vt:variant>
        <vt:lpwstr>_Toc71284674</vt:lpwstr>
      </vt:variant>
      <vt:variant>
        <vt:i4>1769526</vt:i4>
      </vt:variant>
      <vt:variant>
        <vt:i4>98</vt:i4>
      </vt:variant>
      <vt:variant>
        <vt:i4>0</vt:i4>
      </vt:variant>
      <vt:variant>
        <vt:i4>5</vt:i4>
      </vt:variant>
      <vt:variant>
        <vt:lpwstr/>
      </vt:variant>
      <vt:variant>
        <vt:lpwstr>_Toc71284673</vt:lpwstr>
      </vt:variant>
      <vt:variant>
        <vt:i4>1703990</vt:i4>
      </vt:variant>
      <vt:variant>
        <vt:i4>95</vt:i4>
      </vt:variant>
      <vt:variant>
        <vt:i4>0</vt:i4>
      </vt:variant>
      <vt:variant>
        <vt:i4>5</vt:i4>
      </vt:variant>
      <vt:variant>
        <vt:lpwstr/>
      </vt:variant>
      <vt:variant>
        <vt:lpwstr>_Toc71284672</vt:lpwstr>
      </vt:variant>
      <vt:variant>
        <vt:i4>1638454</vt:i4>
      </vt:variant>
      <vt:variant>
        <vt:i4>92</vt:i4>
      </vt:variant>
      <vt:variant>
        <vt:i4>0</vt:i4>
      </vt:variant>
      <vt:variant>
        <vt:i4>5</vt:i4>
      </vt:variant>
      <vt:variant>
        <vt:lpwstr/>
      </vt:variant>
      <vt:variant>
        <vt:lpwstr>_Toc71284671</vt:lpwstr>
      </vt:variant>
      <vt:variant>
        <vt:i4>1572918</vt:i4>
      </vt:variant>
      <vt:variant>
        <vt:i4>89</vt:i4>
      </vt:variant>
      <vt:variant>
        <vt:i4>0</vt:i4>
      </vt:variant>
      <vt:variant>
        <vt:i4>5</vt:i4>
      </vt:variant>
      <vt:variant>
        <vt:lpwstr/>
      </vt:variant>
      <vt:variant>
        <vt:lpwstr>_Toc71284670</vt:lpwstr>
      </vt:variant>
      <vt:variant>
        <vt:i4>1114167</vt:i4>
      </vt:variant>
      <vt:variant>
        <vt:i4>86</vt:i4>
      </vt:variant>
      <vt:variant>
        <vt:i4>0</vt:i4>
      </vt:variant>
      <vt:variant>
        <vt:i4>5</vt:i4>
      </vt:variant>
      <vt:variant>
        <vt:lpwstr/>
      </vt:variant>
      <vt:variant>
        <vt:lpwstr>_Toc71284669</vt:lpwstr>
      </vt:variant>
      <vt:variant>
        <vt:i4>1114169</vt:i4>
      </vt:variant>
      <vt:variant>
        <vt:i4>44</vt:i4>
      </vt:variant>
      <vt:variant>
        <vt:i4>0</vt:i4>
      </vt:variant>
      <vt:variant>
        <vt:i4>5</vt:i4>
      </vt:variant>
      <vt:variant>
        <vt:lpwstr/>
      </vt:variant>
      <vt:variant>
        <vt:lpwstr>_Toc71284689</vt:lpwstr>
      </vt:variant>
      <vt:variant>
        <vt:i4>1048633</vt:i4>
      </vt:variant>
      <vt:variant>
        <vt:i4>41</vt:i4>
      </vt:variant>
      <vt:variant>
        <vt:i4>0</vt:i4>
      </vt:variant>
      <vt:variant>
        <vt:i4>5</vt:i4>
      </vt:variant>
      <vt:variant>
        <vt:lpwstr/>
      </vt:variant>
      <vt:variant>
        <vt:lpwstr>_Toc71284688</vt:lpwstr>
      </vt:variant>
      <vt:variant>
        <vt:i4>2031673</vt:i4>
      </vt:variant>
      <vt:variant>
        <vt:i4>38</vt:i4>
      </vt:variant>
      <vt:variant>
        <vt:i4>0</vt:i4>
      </vt:variant>
      <vt:variant>
        <vt:i4>5</vt:i4>
      </vt:variant>
      <vt:variant>
        <vt:lpwstr/>
      </vt:variant>
      <vt:variant>
        <vt:lpwstr>_Toc71284687</vt:lpwstr>
      </vt:variant>
      <vt:variant>
        <vt:i4>1966137</vt:i4>
      </vt:variant>
      <vt:variant>
        <vt:i4>35</vt:i4>
      </vt:variant>
      <vt:variant>
        <vt:i4>0</vt:i4>
      </vt:variant>
      <vt:variant>
        <vt:i4>5</vt:i4>
      </vt:variant>
      <vt:variant>
        <vt:lpwstr/>
      </vt:variant>
      <vt:variant>
        <vt:lpwstr>_Toc71284686</vt:lpwstr>
      </vt:variant>
      <vt:variant>
        <vt:i4>1900601</vt:i4>
      </vt:variant>
      <vt:variant>
        <vt:i4>32</vt:i4>
      </vt:variant>
      <vt:variant>
        <vt:i4>0</vt:i4>
      </vt:variant>
      <vt:variant>
        <vt:i4>5</vt:i4>
      </vt:variant>
      <vt:variant>
        <vt:lpwstr/>
      </vt:variant>
      <vt:variant>
        <vt:lpwstr>_Toc71284685</vt:lpwstr>
      </vt:variant>
      <vt:variant>
        <vt:i4>1835065</vt:i4>
      </vt:variant>
      <vt:variant>
        <vt:i4>29</vt:i4>
      </vt:variant>
      <vt:variant>
        <vt:i4>0</vt:i4>
      </vt:variant>
      <vt:variant>
        <vt:i4>5</vt:i4>
      </vt:variant>
      <vt:variant>
        <vt:lpwstr/>
      </vt:variant>
      <vt:variant>
        <vt:lpwstr>_Toc71284684</vt:lpwstr>
      </vt:variant>
      <vt:variant>
        <vt:i4>1769529</vt:i4>
      </vt:variant>
      <vt:variant>
        <vt:i4>26</vt:i4>
      </vt:variant>
      <vt:variant>
        <vt:i4>0</vt:i4>
      </vt:variant>
      <vt:variant>
        <vt:i4>5</vt:i4>
      </vt:variant>
      <vt:variant>
        <vt:lpwstr/>
      </vt:variant>
      <vt:variant>
        <vt:lpwstr>_Toc71284683</vt:lpwstr>
      </vt:variant>
      <vt:variant>
        <vt:i4>1703993</vt:i4>
      </vt:variant>
      <vt:variant>
        <vt:i4>23</vt:i4>
      </vt:variant>
      <vt:variant>
        <vt:i4>0</vt:i4>
      </vt:variant>
      <vt:variant>
        <vt:i4>5</vt:i4>
      </vt:variant>
      <vt:variant>
        <vt:lpwstr/>
      </vt:variant>
      <vt:variant>
        <vt:lpwstr>_Toc71284682</vt:lpwstr>
      </vt:variant>
      <vt:variant>
        <vt:i4>1638457</vt:i4>
      </vt:variant>
      <vt:variant>
        <vt:i4>20</vt:i4>
      </vt:variant>
      <vt:variant>
        <vt:i4>0</vt:i4>
      </vt:variant>
      <vt:variant>
        <vt:i4>5</vt:i4>
      </vt:variant>
      <vt:variant>
        <vt:lpwstr/>
      </vt:variant>
      <vt:variant>
        <vt:lpwstr>_Toc71284681</vt:lpwstr>
      </vt:variant>
      <vt:variant>
        <vt:i4>1572921</vt:i4>
      </vt:variant>
      <vt:variant>
        <vt:i4>17</vt:i4>
      </vt:variant>
      <vt:variant>
        <vt:i4>0</vt:i4>
      </vt:variant>
      <vt:variant>
        <vt:i4>5</vt:i4>
      </vt:variant>
      <vt:variant>
        <vt:lpwstr/>
      </vt:variant>
      <vt:variant>
        <vt:lpwstr>_Toc71284680</vt:lpwstr>
      </vt:variant>
      <vt:variant>
        <vt:i4>1114166</vt:i4>
      </vt:variant>
      <vt:variant>
        <vt:i4>14</vt:i4>
      </vt:variant>
      <vt:variant>
        <vt:i4>0</vt:i4>
      </vt:variant>
      <vt:variant>
        <vt:i4>5</vt:i4>
      </vt:variant>
      <vt:variant>
        <vt:lpwstr/>
      </vt:variant>
      <vt:variant>
        <vt:lpwstr>_Toc71284679</vt:lpwstr>
      </vt:variant>
      <vt:variant>
        <vt:i4>4784163</vt:i4>
      </vt:variant>
      <vt:variant>
        <vt:i4>0</vt:i4>
      </vt:variant>
      <vt:variant>
        <vt:i4>0</vt:i4>
      </vt:variant>
      <vt:variant>
        <vt:i4>5</vt:i4>
      </vt:variant>
      <vt:variant>
        <vt:lpwstr>mailto:ajmal.muhammad@ericsson.com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362</cp:revision>
  <cp:lastPrinted>2008-01-31T07:09:00Z</cp:lastPrinted>
  <dcterms:created xsi:type="dcterms:W3CDTF">2021-04-28T22:08:00Z</dcterms:created>
  <dcterms:modified xsi:type="dcterms:W3CDTF">2021-10-21T20:22:00Z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